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8928" w14:textId="77777777" w:rsidR="00361D7A" w:rsidRPr="00F86F9D" w:rsidRDefault="00361D7A" w:rsidP="00361D7A">
      <w:pPr>
        <w:pStyle w:val="Heading1"/>
        <w:jc w:val="center"/>
        <w:rPr>
          <w:rFonts w:eastAsia="Calibri Light" w:cstheme="majorHAnsi"/>
          <w:b/>
          <w:bCs/>
          <w:caps/>
          <w:color w:val="385623" w:themeColor="accent6" w:themeShade="80"/>
          <w:sz w:val="52"/>
          <w:szCs w:val="52"/>
        </w:rPr>
      </w:pPr>
      <w:r w:rsidRPr="00F86F9D">
        <w:rPr>
          <w:rFonts w:eastAsia="Calibri Light" w:cstheme="majorHAnsi"/>
          <w:b/>
          <w:bCs/>
          <w:caps/>
          <w:color w:val="385623" w:themeColor="accent6" w:themeShade="80"/>
          <w:sz w:val="52"/>
          <w:szCs w:val="52"/>
        </w:rPr>
        <w:t>Meeting Minutes</w:t>
      </w:r>
    </w:p>
    <w:p w14:paraId="0F065967" w14:textId="2AD65CFA" w:rsidR="00361D7A" w:rsidRPr="00F86F9D" w:rsidRDefault="00361D7A" w:rsidP="00F86F9D">
      <w:pPr>
        <w:pStyle w:val="Heading2"/>
        <w:jc w:val="center"/>
        <w:rPr>
          <w:rFonts w:eastAsia="Calibri Light" w:cstheme="majorHAnsi"/>
          <w:b/>
          <w:bCs/>
          <w:color w:val="538135" w:themeColor="accent6" w:themeShade="BF"/>
          <w:sz w:val="28"/>
          <w:szCs w:val="28"/>
        </w:rPr>
      </w:pPr>
      <w:r w:rsidRPr="00F86F9D">
        <w:rPr>
          <w:rFonts w:eastAsia="Calibri Light" w:cstheme="majorHAnsi"/>
          <w:b/>
          <w:bCs/>
          <w:color w:val="538135" w:themeColor="accent6" w:themeShade="BF"/>
          <w:sz w:val="28"/>
          <w:szCs w:val="28"/>
        </w:rPr>
        <w:t>Consortium for Medical Marijuana Clinical Outcomes Research:</w:t>
      </w:r>
    </w:p>
    <w:p w14:paraId="38FF1F34" w14:textId="7CB9AF05" w:rsidR="00361D7A" w:rsidRDefault="00361D7A" w:rsidP="00361D7A">
      <w:pPr>
        <w:pStyle w:val="Heading2"/>
        <w:spacing w:line="240" w:lineRule="auto"/>
        <w:jc w:val="center"/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</w:pPr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 xml:space="preserve">B o a r D M e </w:t>
      </w:r>
      <w:proofErr w:type="spellStart"/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>e</w:t>
      </w:r>
      <w:proofErr w:type="spellEnd"/>
      <w:r w:rsidRPr="00361D7A">
        <w:rPr>
          <w:rFonts w:eastAsia="Calibri Light" w:cstheme="majorHAnsi"/>
          <w:b/>
          <w:bCs/>
          <w:caps/>
          <w:color w:val="538135" w:themeColor="accent6" w:themeShade="BF"/>
          <w:sz w:val="20"/>
          <w:szCs w:val="20"/>
        </w:rPr>
        <w:t xml:space="preserve"> t I n g </w:t>
      </w:r>
    </w:p>
    <w:p w14:paraId="00000002" w14:textId="5F25B782" w:rsidR="00C25815" w:rsidRPr="00361D7A" w:rsidRDefault="006900A8" w:rsidP="00361D7A">
      <w:pPr>
        <w:pStyle w:val="Heading2"/>
        <w:spacing w:line="240" w:lineRule="auto"/>
        <w:jc w:val="center"/>
        <w:rPr>
          <w:rFonts w:cstheme="majorHAnsi"/>
          <w:b/>
          <w:sz w:val="20"/>
          <w:szCs w:val="20"/>
        </w:rPr>
      </w:pPr>
      <w:r w:rsidRPr="00361D7A">
        <w:rPr>
          <w:rFonts w:cstheme="majorHAnsi"/>
          <w:b/>
          <w:sz w:val="20"/>
          <w:szCs w:val="20"/>
        </w:rPr>
        <w:t xml:space="preserve">May </w:t>
      </w:r>
      <w:r w:rsidR="003D1EDB">
        <w:rPr>
          <w:rFonts w:cstheme="majorHAnsi"/>
          <w:b/>
          <w:sz w:val="20"/>
          <w:szCs w:val="20"/>
        </w:rPr>
        <w:t>31</w:t>
      </w:r>
      <w:r w:rsidR="003D1EDB" w:rsidRPr="00361D7A">
        <w:rPr>
          <w:rFonts w:cstheme="majorHAnsi"/>
          <w:b/>
          <w:sz w:val="20"/>
          <w:szCs w:val="20"/>
          <w:vertAlign w:val="superscript"/>
        </w:rPr>
        <w:t>st</w:t>
      </w:r>
      <w:r w:rsidR="00E666C7" w:rsidRPr="00361D7A">
        <w:rPr>
          <w:rFonts w:cstheme="majorHAnsi"/>
          <w:b/>
          <w:sz w:val="20"/>
          <w:szCs w:val="20"/>
        </w:rPr>
        <w:t>, 202</w:t>
      </w:r>
      <w:r w:rsidR="003D1EDB">
        <w:rPr>
          <w:rFonts w:cstheme="majorHAnsi"/>
          <w:b/>
          <w:sz w:val="20"/>
          <w:szCs w:val="20"/>
        </w:rPr>
        <w:t>4</w:t>
      </w:r>
      <w:r w:rsidR="00E666C7" w:rsidRPr="00361D7A">
        <w:rPr>
          <w:rFonts w:cstheme="majorHAnsi"/>
          <w:b/>
          <w:sz w:val="20"/>
          <w:szCs w:val="20"/>
        </w:rPr>
        <w:t xml:space="preserve"> at </w:t>
      </w:r>
      <w:r w:rsidRPr="00361D7A">
        <w:rPr>
          <w:rFonts w:cstheme="majorHAnsi"/>
          <w:b/>
          <w:sz w:val="20"/>
          <w:szCs w:val="20"/>
        </w:rPr>
        <w:t>1</w:t>
      </w:r>
      <w:r w:rsidR="00E666C7" w:rsidRPr="00361D7A">
        <w:rPr>
          <w:rFonts w:cstheme="majorHAnsi"/>
          <w:b/>
          <w:sz w:val="20"/>
          <w:szCs w:val="20"/>
        </w:rPr>
        <w:t>2:00 P.M. (EST)</w:t>
      </w:r>
    </w:p>
    <w:p w14:paraId="6E44817A" w14:textId="7EC2EAA8" w:rsidR="00361D7A" w:rsidRPr="00361D7A" w:rsidRDefault="00361D7A" w:rsidP="00361D7A">
      <w:pPr>
        <w:pStyle w:val="Heading2"/>
        <w:jc w:val="center"/>
        <w:rPr>
          <w:rFonts w:eastAsia="Calibri Light" w:cstheme="majorHAnsi"/>
          <w:i/>
          <w:iCs/>
          <w:color w:val="000000" w:themeColor="text1"/>
          <w:sz w:val="20"/>
          <w:szCs w:val="20"/>
        </w:rPr>
      </w:pPr>
      <w:r w:rsidRPr="00361D7A">
        <w:rPr>
          <w:rFonts w:eastAsia="Calibri Light" w:cstheme="majorHAnsi"/>
          <w:i/>
          <w:iCs/>
          <w:color w:val="000000" w:themeColor="text1"/>
          <w:sz w:val="20"/>
          <w:szCs w:val="20"/>
        </w:rPr>
        <w:t xml:space="preserve">Live and Remote Connection via Zoom </w:t>
      </w:r>
    </w:p>
    <w:p w14:paraId="27C99B74" w14:textId="77777777" w:rsidR="000E45DB" w:rsidRPr="00361D7A" w:rsidRDefault="000E45DB">
      <w:pPr>
        <w:pStyle w:val="Heading2"/>
        <w:rPr>
          <w:rFonts w:cstheme="majorHAnsi"/>
          <w:sz w:val="20"/>
          <w:szCs w:val="20"/>
        </w:rPr>
      </w:pPr>
    </w:p>
    <w:p w14:paraId="2A04B021" w14:textId="0B787914" w:rsidR="00361D7A" w:rsidRPr="00361D7A" w:rsidRDefault="00361D7A" w:rsidP="00361D7A">
      <w:pPr>
        <w:rPr>
          <w:rFonts w:asciiTheme="majorHAnsi" w:hAnsiTheme="majorHAnsi" w:cstheme="majorHAnsi"/>
          <w:sz w:val="20"/>
          <w:szCs w:val="20"/>
        </w:rPr>
        <w:sectPr w:rsidR="00361D7A" w:rsidRPr="00361D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4" w14:textId="16A450A3" w:rsidR="00C25815" w:rsidRPr="00767145" w:rsidRDefault="00B330F0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Attendees</w:t>
      </w:r>
      <w:r w:rsidR="00735336" w:rsidRPr="00767145">
        <w:rPr>
          <w:rFonts w:cstheme="majorHAnsi"/>
          <w:b/>
          <w:sz w:val="20"/>
          <w:szCs w:val="20"/>
        </w:rPr>
        <w:t xml:space="preserve"> (in-person)</w:t>
      </w:r>
      <w:r w:rsidRPr="00767145">
        <w:rPr>
          <w:rFonts w:cstheme="majorHAnsi"/>
          <w:b/>
          <w:sz w:val="20"/>
          <w:szCs w:val="20"/>
        </w:rPr>
        <w:t>:</w:t>
      </w:r>
    </w:p>
    <w:p w14:paraId="652B922C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Charles Weatherford</w:t>
      </w:r>
    </w:p>
    <w:p w14:paraId="07954E73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Jacqueline Sagen</w:t>
      </w:r>
    </w:p>
    <w:p w14:paraId="05EF4855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William Anderson</w:t>
      </w:r>
    </w:p>
    <w:p w14:paraId="47B691FA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Max Orezzoli</w:t>
      </w:r>
    </w:p>
    <w:p w14:paraId="60130DE7" w14:textId="77777777" w:rsidR="005C7AFB" w:rsidRDefault="00141E53" w:rsidP="005C7AF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 w:rsidRPr="00361D7A">
        <w:rPr>
          <w:rFonts w:asciiTheme="majorHAnsi" w:hAnsiTheme="majorHAnsi" w:cstheme="majorHAnsi"/>
          <w:sz w:val="20"/>
          <w:szCs w:val="20"/>
        </w:rPr>
        <w:t>Dinender</w:t>
      </w:r>
      <w:proofErr w:type="spellEnd"/>
      <w:r w:rsidRPr="00361D7A">
        <w:rPr>
          <w:rFonts w:asciiTheme="majorHAnsi" w:hAnsiTheme="majorHAnsi" w:cstheme="majorHAnsi"/>
          <w:sz w:val="20"/>
          <w:szCs w:val="20"/>
        </w:rPr>
        <w:t xml:space="preserve"> Singla</w:t>
      </w:r>
    </w:p>
    <w:p w14:paraId="29635989" w14:textId="56092ECF" w:rsidR="005C7AFB" w:rsidRPr="00361D7A" w:rsidRDefault="005C7AFB" w:rsidP="005C7AF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Christopher McCurdy</w:t>
      </w:r>
    </w:p>
    <w:p w14:paraId="420AFBBD" w14:textId="161B1E3A" w:rsidR="00141E53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000005" w14:textId="734C6BD0" w:rsidR="00C25815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Almut Winterstein</w:t>
      </w:r>
    </w:p>
    <w:p w14:paraId="4F603555" w14:textId="77420E49" w:rsidR="0000069F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Jeevan Jyot</w:t>
      </w:r>
    </w:p>
    <w:p w14:paraId="7E670404" w14:textId="6BFA8255" w:rsidR="0000069F" w:rsidRPr="00361D7A" w:rsidRDefault="0000069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Yan Wang</w:t>
      </w:r>
    </w:p>
    <w:p w14:paraId="0C700BB0" w14:textId="77777777" w:rsidR="00141E53" w:rsidRPr="00361D7A" w:rsidRDefault="00141E53" w:rsidP="00141E53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Amie Goodin</w:t>
      </w:r>
    </w:p>
    <w:p w14:paraId="7F2D5C4F" w14:textId="054E952E" w:rsidR="003D1EDB" w:rsidRDefault="003D1ED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Md Mahmudul Hasan</w:t>
      </w:r>
    </w:p>
    <w:p w14:paraId="659699A7" w14:textId="7ADDE858" w:rsidR="003D1EDB" w:rsidRDefault="003D1ED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Allison Veliz </w:t>
      </w:r>
    </w:p>
    <w:p w14:paraId="532AE1D3" w14:textId="77777777" w:rsidR="000E45DB" w:rsidRPr="00361D7A" w:rsidRDefault="000E45D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  <w:sectPr w:rsidR="000E45DB" w:rsidRPr="00361D7A" w:rsidSect="000E45D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B9B4342" w14:textId="10E598FD" w:rsidR="00A76286" w:rsidRPr="00361D7A" w:rsidRDefault="00A7628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000011" w14:textId="72889FE1" w:rsidR="00C25815" w:rsidRPr="00767145" w:rsidRDefault="00B330F0">
      <w:pPr>
        <w:pStyle w:val="Heading2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Welcome</w:t>
      </w:r>
    </w:p>
    <w:p w14:paraId="00000013" w14:textId="07BEA5E3" w:rsidR="00C25815" w:rsidRDefault="000A2075" w:rsidP="00543B2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>Dr.</w:t>
      </w:r>
      <w:r w:rsidR="00C0004C">
        <w:rPr>
          <w:rFonts w:asciiTheme="majorHAnsi" w:hAnsiTheme="majorHAnsi" w:cstheme="majorHAnsi"/>
          <w:sz w:val="20"/>
          <w:szCs w:val="20"/>
        </w:rPr>
        <w:t xml:space="preserve"> </w:t>
      </w:r>
      <w:r w:rsidR="00E23DAF" w:rsidRPr="00361D7A">
        <w:rPr>
          <w:rFonts w:asciiTheme="majorHAnsi" w:hAnsiTheme="majorHAnsi" w:cstheme="majorHAnsi"/>
          <w:sz w:val="20"/>
          <w:szCs w:val="20"/>
        </w:rPr>
        <w:t>Anderson</w:t>
      </w:r>
      <w:r w:rsidRPr="00361D7A">
        <w:rPr>
          <w:rFonts w:asciiTheme="majorHAnsi" w:hAnsiTheme="majorHAnsi" w:cstheme="majorHAnsi"/>
          <w:sz w:val="20"/>
          <w:szCs w:val="20"/>
        </w:rPr>
        <w:t xml:space="preserve"> welcome</w:t>
      </w:r>
      <w:r w:rsidR="00464667" w:rsidRPr="00361D7A">
        <w:rPr>
          <w:rFonts w:asciiTheme="majorHAnsi" w:hAnsiTheme="majorHAnsi" w:cstheme="majorHAnsi"/>
          <w:sz w:val="20"/>
          <w:szCs w:val="20"/>
        </w:rPr>
        <w:t>d</w:t>
      </w:r>
      <w:r w:rsidRPr="00361D7A">
        <w:rPr>
          <w:rFonts w:asciiTheme="majorHAnsi" w:hAnsiTheme="majorHAnsi" w:cstheme="majorHAnsi"/>
          <w:sz w:val="20"/>
          <w:szCs w:val="20"/>
        </w:rPr>
        <w:t xml:space="preserve"> </w:t>
      </w:r>
      <w:r w:rsidR="00A76286" w:rsidRPr="00361D7A">
        <w:rPr>
          <w:rFonts w:asciiTheme="majorHAnsi" w:hAnsiTheme="majorHAnsi" w:cstheme="majorHAnsi"/>
          <w:sz w:val="20"/>
          <w:szCs w:val="20"/>
        </w:rPr>
        <w:t>the board me</w:t>
      </w:r>
      <w:r w:rsidR="005C7AFB">
        <w:rPr>
          <w:rFonts w:asciiTheme="majorHAnsi" w:hAnsiTheme="majorHAnsi" w:cstheme="majorHAnsi"/>
          <w:sz w:val="20"/>
          <w:szCs w:val="20"/>
        </w:rPr>
        <w:t>mbers</w:t>
      </w:r>
      <w:r w:rsidR="00A234F2" w:rsidRPr="00361D7A">
        <w:rPr>
          <w:rFonts w:asciiTheme="majorHAnsi" w:hAnsiTheme="majorHAnsi" w:cstheme="majorHAnsi"/>
          <w:sz w:val="20"/>
          <w:szCs w:val="20"/>
        </w:rPr>
        <w:t xml:space="preserve"> and </w:t>
      </w:r>
      <w:r w:rsidR="003D1EDB">
        <w:rPr>
          <w:rFonts w:asciiTheme="majorHAnsi" w:hAnsiTheme="majorHAnsi" w:cstheme="majorHAnsi"/>
          <w:sz w:val="20"/>
          <w:szCs w:val="20"/>
        </w:rPr>
        <w:t xml:space="preserve">thanked everyone for </w:t>
      </w:r>
      <w:r w:rsidR="00C408A0">
        <w:rPr>
          <w:rFonts w:asciiTheme="majorHAnsi" w:hAnsiTheme="majorHAnsi" w:cstheme="majorHAnsi"/>
          <w:sz w:val="20"/>
          <w:szCs w:val="20"/>
        </w:rPr>
        <w:t>attending</w:t>
      </w:r>
      <w:r w:rsidR="003D1EDB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985A1F1" w14:textId="77777777" w:rsidR="00543B21" w:rsidRDefault="00543B21" w:rsidP="00543B21">
      <w:pPr>
        <w:pStyle w:val="Heading2"/>
        <w:spacing w:before="0"/>
        <w:rPr>
          <w:rFonts w:cstheme="majorHAnsi"/>
          <w:b/>
          <w:bCs/>
          <w:sz w:val="20"/>
          <w:szCs w:val="20"/>
        </w:rPr>
      </w:pPr>
    </w:p>
    <w:p w14:paraId="5D1D23D5" w14:textId="184C131B" w:rsidR="00D33F2E" w:rsidRDefault="00D33F2E" w:rsidP="00543B21">
      <w:pPr>
        <w:pStyle w:val="Heading2"/>
        <w:spacing w:before="0"/>
        <w:rPr>
          <w:rFonts w:cstheme="majorHAnsi"/>
          <w:b/>
          <w:sz w:val="20"/>
          <w:szCs w:val="20"/>
        </w:rPr>
      </w:pPr>
      <w:r w:rsidRPr="00D33F2E">
        <w:rPr>
          <w:rFonts w:cstheme="majorHAnsi"/>
          <w:b/>
          <w:bCs/>
          <w:sz w:val="20"/>
          <w:szCs w:val="20"/>
        </w:rPr>
        <w:t xml:space="preserve">CCORC </w:t>
      </w:r>
      <w:r>
        <w:rPr>
          <w:rFonts w:cstheme="majorHAnsi"/>
          <w:b/>
          <w:bCs/>
          <w:sz w:val="20"/>
          <w:szCs w:val="20"/>
        </w:rPr>
        <w:t xml:space="preserve">2024 Post Hoc </w:t>
      </w:r>
    </w:p>
    <w:p w14:paraId="5427C382" w14:textId="312CD671" w:rsidR="00D33F2E" w:rsidRDefault="00D33F2E" w:rsidP="00D33F2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Dr. Goodin provided an overview on CCORC 2024, highlighting</w:t>
      </w:r>
      <w:r w:rsidR="009D2DA1">
        <w:rPr>
          <w:rFonts w:asciiTheme="majorHAnsi" w:hAnsiTheme="majorHAnsi" w:cstheme="majorHAnsi"/>
          <w:sz w:val="20"/>
          <w:szCs w:val="20"/>
        </w:rPr>
        <w:t xml:space="preserve"> 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9D2DA1">
        <w:rPr>
          <w:rFonts w:asciiTheme="majorHAnsi" w:hAnsiTheme="majorHAnsi" w:cstheme="majorHAnsi"/>
          <w:sz w:val="20"/>
          <w:szCs w:val="20"/>
        </w:rPr>
        <w:t>total of 110 registrants</w:t>
      </w:r>
      <w:r w:rsidR="00A7242F">
        <w:rPr>
          <w:rFonts w:asciiTheme="majorHAnsi" w:hAnsiTheme="majorHAnsi" w:cstheme="majorHAnsi"/>
          <w:sz w:val="20"/>
          <w:szCs w:val="20"/>
        </w:rPr>
        <w:t xml:space="preserve"> including an</w:t>
      </w:r>
      <w:r w:rsidR="009D2DA1">
        <w:rPr>
          <w:rFonts w:asciiTheme="majorHAnsi" w:hAnsiTheme="majorHAnsi" w:cstheme="majorHAnsi"/>
          <w:sz w:val="20"/>
          <w:szCs w:val="20"/>
        </w:rPr>
        <w:t xml:space="preserve"> increase </w:t>
      </w:r>
      <w:r w:rsidR="0074799B">
        <w:rPr>
          <w:rFonts w:asciiTheme="majorHAnsi" w:hAnsiTheme="majorHAnsi" w:cstheme="majorHAnsi"/>
          <w:sz w:val="20"/>
          <w:szCs w:val="20"/>
        </w:rPr>
        <w:t>in</w:t>
      </w:r>
      <w:r w:rsidR="009D2DA1">
        <w:rPr>
          <w:rFonts w:asciiTheme="majorHAnsi" w:hAnsiTheme="majorHAnsi" w:cstheme="majorHAnsi"/>
          <w:sz w:val="20"/>
          <w:szCs w:val="20"/>
        </w:rPr>
        <w:t xml:space="preserve"> student registrants, </w:t>
      </w:r>
      <w:r w:rsidR="00400D98">
        <w:rPr>
          <w:rFonts w:asciiTheme="majorHAnsi" w:hAnsiTheme="majorHAnsi" w:cstheme="majorHAnsi"/>
          <w:sz w:val="20"/>
          <w:szCs w:val="20"/>
        </w:rPr>
        <w:t>accounting</w:t>
      </w:r>
      <w:r w:rsidR="0074799B">
        <w:rPr>
          <w:rFonts w:asciiTheme="majorHAnsi" w:hAnsiTheme="majorHAnsi" w:cstheme="majorHAnsi"/>
          <w:sz w:val="20"/>
          <w:szCs w:val="20"/>
        </w:rPr>
        <w:t xml:space="preserve"> for</w:t>
      </w:r>
      <w:r w:rsidR="009D2DA1">
        <w:rPr>
          <w:rFonts w:asciiTheme="majorHAnsi" w:hAnsiTheme="majorHAnsi" w:cstheme="majorHAnsi"/>
          <w:sz w:val="20"/>
          <w:szCs w:val="20"/>
        </w:rPr>
        <w:t xml:space="preserve"> 40% of all registrants. The conference </w:t>
      </w:r>
      <w:r w:rsidR="0074799B">
        <w:rPr>
          <w:rFonts w:asciiTheme="majorHAnsi" w:hAnsiTheme="majorHAnsi" w:cstheme="majorHAnsi"/>
          <w:sz w:val="20"/>
          <w:szCs w:val="20"/>
        </w:rPr>
        <w:t xml:space="preserve">offered </w:t>
      </w:r>
      <w:r w:rsidR="009D2DA1">
        <w:rPr>
          <w:rFonts w:asciiTheme="majorHAnsi" w:hAnsiTheme="majorHAnsi" w:cstheme="majorHAnsi"/>
          <w:sz w:val="20"/>
          <w:szCs w:val="20"/>
        </w:rPr>
        <w:t xml:space="preserve">a total of 54 abstracts for oral and poster presentations and all 9 Consortium </w:t>
      </w:r>
      <w:r w:rsidR="0011780B">
        <w:rPr>
          <w:rFonts w:asciiTheme="majorHAnsi" w:hAnsiTheme="majorHAnsi" w:cstheme="majorHAnsi"/>
          <w:sz w:val="20"/>
          <w:szCs w:val="20"/>
        </w:rPr>
        <w:t xml:space="preserve">member </w:t>
      </w:r>
      <w:r w:rsidR="009D2DA1">
        <w:rPr>
          <w:rFonts w:asciiTheme="majorHAnsi" w:hAnsiTheme="majorHAnsi" w:cstheme="majorHAnsi"/>
          <w:sz w:val="20"/>
          <w:szCs w:val="20"/>
        </w:rPr>
        <w:t xml:space="preserve">institutions were represented. This year’s program included </w:t>
      </w:r>
      <w:r w:rsidR="00913135">
        <w:rPr>
          <w:rFonts w:asciiTheme="majorHAnsi" w:hAnsiTheme="majorHAnsi" w:cstheme="majorHAnsi"/>
          <w:sz w:val="20"/>
          <w:szCs w:val="20"/>
        </w:rPr>
        <w:t xml:space="preserve">an increase </w:t>
      </w:r>
      <w:r w:rsidR="0011780B">
        <w:rPr>
          <w:rFonts w:asciiTheme="majorHAnsi" w:hAnsiTheme="majorHAnsi" w:cstheme="majorHAnsi"/>
          <w:sz w:val="20"/>
          <w:szCs w:val="20"/>
        </w:rPr>
        <w:t>in</w:t>
      </w:r>
      <w:r w:rsidR="009D2DA1">
        <w:rPr>
          <w:rFonts w:asciiTheme="majorHAnsi" w:hAnsiTheme="majorHAnsi" w:cstheme="majorHAnsi"/>
          <w:sz w:val="20"/>
          <w:szCs w:val="20"/>
        </w:rPr>
        <w:t xml:space="preserve"> oral presentations of top abstracts </w:t>
      </w:r>
      <w:r w:rsidR="0074799B">
        <w:rPr>
          <w:rFonts w:asciiTheme="majorHAnsi" w:hAnsiTheme="majorHAnsi" w:cstheme="majorHAnsi"/>
          <w:sz w:val="20"/>
          <w:szCs w:val="20"/>
        </w:rPr>
        <w:t xml:space="preserve">in keeping with the </w:t>
      </w:r>
      <w:r w:rsidR="0011780B">
        <w:rPr>
          <w:rFonts w:asciiTheme="majorHAnsi" w:hAnsiTheme="majorHAnsi" w:cstheme="majorHAnsi"/>
          <w:sz w:val="20"/>
          <w:szCs w:val="20"/>
        </w:rPr>
        <w:t xml:space="preserve">feedback from </w:t>
      </w:r>
      <w:r w:rsidR="0074799B">
        <w:rPr>
          <w:rFonts w:asciiTheme="majorHAnsi" w:hAnsiTheme="majorHAnsi" w:cstheme="majorHAnsi"/>
          <w:sz w:val="20"/>
          <w:szCs w:val="20"/>
        </w:rPr>
        <w:t>2023 attendee</w:t>
      </w:r>
      <w:r w:rsidR="0011780B">
        <w:rPr>
          <w:rFonts w:asciiTheme="majorHAnsi" w:hAnsiTheme="majorHAnsi" w:cstheme="majorHAnsi"/>
          <w:sz w:val="20"/>
          <w:szCs w:val="20"/>
        </w:rPr>
        <w:t>s</w:t>
      </w:r>
      <w:r w:rsidR="009D2DA1">
        <w:rPr>
          <w:rFonts w:asciiTheme="majorHAnsi" w:hAnsiTheme="majorHAnsi" w:cstheme="majorHAnsi"/>
          <w:sz w:val="20"/>
          <w:szCs w:val="20"/>
        </w:rPr>
        <w:t>.</w:t>
      </w:r>
      <w:r w:rsidR="00913135">
        <w:rPr>
          <w:rFonts w:asciiTheme="majorHAnsi" w:hAnsiTheme="majorHAnsi" w:cstheme="majorHAnsi"/>
          <w:sz w:val="20"/>
          <w:szCs w:val="20"/>
        </w:rPr>
        <w:t xml:space="preserve"> CME and CPE credits were offered for the three keynote lectures, </w:t>
      </w:r>
      <w:r w:rsidR="0074799B">
        <w:rPr>
          <w:rFonts w:asciiTheme="majorHAnsi" w:hAnsiTheme="majorHAnsi" w:cstheme="majorHAnsi"/>
          <w:sz w:val="20"/>
          <w:szCs w:val="20"/>
        </w:rPr>
        <w:t xml:space="preserve">with plans </w:t>
      </w:r>
      <w:r w:rsidR="00913135">
        <w:rPr>
          <w:rFonts w:asciiTheme="majorHAnsi" w:hAnsiTheme="majorHAnsi" w:cstheme="majorHAnsi"/>
          <w:sz w:val="20"/>
          <w:szCs w:val="20"/>
        </w:rPr>
        <w:t xml:space="preserve">next year to </w:t>
      </w:r>
      <w:r w:rsidR="0074799B">
        <w:rPr>
          <w:rFonts w:asciiTheme="majorHAnsi" w:hAnsiTheme="majorHAnsi" w:cstheme="majorHAnsi"/>
          <w:sz w:val="20"/>
          <w:szCs w:val="20"/>
        </w:rPr>
        <w:t xml:space="preserve">offer </w:t>
      </w:r>
      <w:r w:rsidR="00913135">
        <w:rPr>
          <w:rFonts w:asciiTheme="majorHAnsi" w:hAnsiTheme="majorHAnsi" w:cstheme="majorHAnsi"/>
          <w:sz w:val="20"/>
          <w:szCs w:val="20"/>
        </w:rPr>
        <w:t xml:space="preserve">more </w:t>
      </w:r>
      <w:r w:rsidR="0074799B">
        <w:rPr>
          <w:rFonts w:asciiTheme="majorHAnsi" w:hAnsiTheme="majorHAnsi" w:cstheme="majorHAnsi"/>
          <w:sz w:val="20"/>
          <w:szCs w:val="20"/>
        </w:rPr>
        <w:t>CE credits for</w:t>
      </w:r>
      <w:r w:rsidR="00913135">
        <w:rPr>
          <w:rFonts w:asciiTheme="majorHAnsi" w:hAnsiTheme="majorHAnsi" w:cstheme="majorHAnsi"/>
          <w:sz w:val="20"/>
          <w:szCs w:val="20"/>
        </w:rPr>
        <w:t xml:space="preserve"> the program. Feedback survey will be sent out and all feedback </w:t>
      </w:r>
      <w:r w:rsidR="007F6D24">
        <w:rPr>
          <w:rFonts w:asciiTheme="majorHAnsi" w:hAnsiTheme="majorHAnsi" w:cstheme="majorHAnsi"/>
          <w:sz w:val="20"/>
          <w:szCs w:val="20"/>
        </w:rPr>
        <w:t xml:space="preserve">received </w:t>
      </w:r>
      <w:r w:rsidR="00913135">
        <w:rPr>
          <w:rFonts w:asciiTheme="majorHAnsi" w:hAnsiTheme="majorHAnsi" w:cstheme="majorHAnsi"/>
          <w:sz w:val="20"/>
          <w:szCs w:val="20"/>
        </w:rPr>
        <w:t xml:space="preserve">will be taken into consideration. </w:t>
      </w:r>
      <w:r w:rsidR="00913135" w:rsidRPr="00361D7A">
        <w:rPr>
          <w:rFonts w:asciiTheme="majorHAnsi" w:hAnsiTheme="majorHAnsi" w:cstheme="majorHAnsi"/>
          <w:sz w:val="20"/>
          <w:szCs w:val="20"/>
        </w:rPr>
        <w:t>The Medical Cannabis and Cannabinoids Journal will publish this year’s conference abstracts.</w:t>
      </w:r>
      <w:r w:rsidR="007F755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4FCEFCE" w14:textId="37EE9995" w:rsidR="00CE7E1C" w:rsidRPr="00361D7A" w:rsidRDefault="007F7552" w:rsidP="00543B21">
      <w:pPr>
        <w:spacing w:after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Dr. Winterstein </w:t>
      </w:r>
      <w:r w:rsidR="007F6D24">
        <w:rPr>
          <w:rFonts w:asciiTheme="majorHAnsi" w:hAnsiTheme="majorHAnsi" w:cstheme="majorHAnsi"/>
          <w:sz w:val="20"/>
          <w:szCs w:val="20"/>
        </w:rPr>
        <w:t>requested</w:t>
      </w:r>
      <w:r>
        <w:rPr>
          <w:rFonts w:asciiTheme="majorHAnsi" w:hAnsiTheme="majorHAnsi" w:cstheme="majorHAnsi"/>
          <w:sz w:val="20"/>
          <w:szCs w:val="20"/>
        </w:rPr>
        <w:t xml:space="preserve"> feedback from the board members regarding the conference. This year </w:t>
      </w:r>
      <w:r w:rsidR="00CE7E1C">
        <w:rPr>
          <w:rFonts w:asciiTheme="majorHAnsi" w:hAnsiTheme="majorHAnsi" w:cstheme="majorHAnsi"/>
          <w:sz w:val="20"/>
          <w:szCs w:val="20"/>
        </w:rPr>
        <w:t>CCORC</w:t>
      </w:r>
      <w:r>
        <w:rPr>
          <w:rFonts w:asciiTheme="majorHAnsi" w:hAnsiTheme="majorHAnsi" w:cstheme="majorHAnsi"/>
          <w:sz w:val="20"/>
          <w:szCs w:val="20"/>
        </w:rPr>
        <w:t xml:space="preserve"> was pushed two weeks back from its usual dates</w:t>
      </w:r>
      <w:r w:rsidR="00210CD3">
        <w:rPr>
          <w:rFonts w:asciiTheme="majorHAnsi" w:hAnsiTheme="majorHAnsi" w:cstheme="majorHAnsi"/>
          <w:sz w:val="20"/>
          <w:szCs w:val="20"/>
        </w:rPr>
        <w:t xml:space="preserve">, </w:t>
      </w:r>
      <w:r w:rsidR="00172CFC">
        <w:rPr>
          <w:rFonts w:asciiTheme="majorHAnsi" w:hAnsiTheme="majorHAnsi" w:cstheme="majorHAnsi"/>
          <w:sz w:val="20"/>
          <w:szCs w:val="20"/>
        </w:rPr>
        <w:t xml:space="preserve">and </w:t>
      </w:r>
      <w:r w:rsidR="00210CD3">
        <w:rPr>
          <w:rFonts w:asciiTheme="majorHAnsi" w:hAnsiTheme="majorHAnsi" w:cstheme="majorHAnsi"/>
          <w:sz w:val="20"/>
          <w:szCs w:val="20"/>
        </w:rPr>
        <w:t>Dr. Winterstein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10CD3">
        <w:rPr>
          <w:rFonts w:asciiTheme="majorHAnsi" w:hAnsiTheme="majorHAnsi" w:cstheme="majorHAnsi"/>
          <w:sz w:val="20"/>
          <w:szCs w:val="20"/>
        </w:rPr>
        <w:t xml:space="preserve">suggested </w:t>
      </w:r>
      <w:r w:rsidR="00172CFC">
        <w:rPr>
          <w:rFonts w:asciiTheme="majorHAnsi" w:hAnsiTheme="majorHAnsi" w:cstheme="majorHAnsi"/>
          <w:sz w:val="20"/>
          <w:szCs w:val="20"/>
        </w:rPr>
        <w:t xml:space="preserve">this </w:t>
      </w:r>
      <w:r>
        <w:rPr>
          <w:rFonts w:asciiTheme="majorHAnsi" w:hAnsiTheme="majorHAnsi" w:cstheme="majorHAnsi"/>
          <w:sz w:val="20"/>
          <w:szCs w:val="20"/>
        </w:rPr>
        <w:t xml:space="preserve">may discourage </w:t>
      </w:r>
      <w:r w:rsidR="007F6D24">
        <w:rPr>
          <w:rFonts w:asciiTheme="majorHAnsi" w:hAnsiTheme="majorHAnsi" w:cstheme="majorHAnsi"/>
          <w:sz w:val="20"/>
          <w:szCs w:val="20"/>
        </w:rPr>
        <w:t xml:space="preserve">9-month </w:t>
      </w:r>
      <w:r>
        <w:rPr>
          <w:rFonts w:asciiTheme="majorHAnsi" w:hAnsiTheme="majorHAnsi" w:cstheme="majorHAnsi"/>
          <w:sz w:val="20"/>
          <w:szCs w:val="20"/>
        </w:rPr>
        <w:t>faculty members to attend</w:t>
      </w:r>
      <w:r w:rsidR="007F6D24">
        <w:rPr>
          <w:rFonts w:asciiTheme="majorHAnsi" w:hAnsiTheme="majorHAnsi" w:cstheme="majorHAnsi"/>
          <w:sz w:val="20"/>
          <w:szCs w:val="20"/>
        </w:rPr>
        <w:t>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210CD3">
        <w:rPr>
          <w:rFonts w:asciiTheme="majorHAnsi" w:hAnsiTheme="majorHAnsi" w:cstheme="majorHAnsi"/>
          <w:sz w:val="20"/>
          <w:szCs w:val="20"/>
        </w:rPr>
        <w:t xml:space="preserve">Dr. Orezzoli </w:t>
      </w:r>
      <w:r w:rsidR="0009497E">
        <w:rPr>
          <w:rFonts w:asciiTheme="majorHAnsi" w:hAnsiTheme="majorHAnsi" w:cstheme="majorHAnsi"/>
          <w:sz w:val="20"/>
          <w:szCs w:val="20"/>
        </w:rPr>
        <w:t xml:space="preserve">suggested </w:t>
      </w:r>
      <w:r w:rsidR="00172CFC">
        <w:rPr>
          <w:rFonts w:asciiTheme="majorHAnsi" w:hAnsiTheme="majorHAnsi" w:cstheme="majorHAnsi"/>
          <w:sz w:val="20"/>
          <w:szCs w:val="20"/>
        </w:rPr>
        <w:t xml:space="preserve">efforts for increasing attendance </w:t>
      </w:r>
      <w:r w:rsidR="00210CD3">
        <w:rPr>
          <w:rFonts w:asciiTheme="majorHAnsi" w:hAnsiTheme="majorHAnsi" w:cstheme="majorHAnsi"/>
          <w:sz w:val="20"/>
          <w:szCs w:val="20"/>
        </w:rPr>
        <w:t>next year.</w:t>
      </w:r>
      <w:r w:rsidR="0009497E">
        <w:rPr>
          <w:rFonts w:asciiTheme="majorHAnsi" w:hAnsiTheme="majorHAnsi" w:cstheme="majorHAnsi"/>
          <w:sz w:val="20"/>
          <w:szCs w:val="20"/>
        </w:rPr>
        <w:t xml:space="preserve"> He suggested </w:t>
      </w:r>
      <w:r w:rsidR="00424431">
        <w:rPr>
          <w:rFonts w:asciiTheme="majorHAnsi" w:hAnsiTheme="majorHAnsi" w:cstheme="majorHAnsi"/>
          <w:sz w:val="20"/>
          <w:szCs w:val="20"/>
        </w:rPr>
        <w:t>collaborating with other</w:t>
      </w:r>
      <w:r w:rsidR="00CE7E1C">
        <w:rPr>
          <w:rFonts w:asciiTheme="majorHAnsi" w:hAnsiTheme="majorHAnsi" w:cstheme="majorHAnsi"/>
          <w:sz w:val="20"/>
          <w:szCs w:val="20"/>
        </w:rPr>
        <w:t xml:space="preserve"> conference</w:t>
      </w:r>
      <w:r w:rsidR="00424431">
        <w:rPr>
          <w:rFonts w:asciiTheme="majorHAnsi" w:hAnsiTheme="majorHAnsi" w:cstheme="majorHAnsi"/>
          <w:sz w:val="20"/>
          <w:szCs w:val="20"/>
        </w:rPr>
        <w:t xml:space="preserve">s and holding a joint Keynote address. </w:t>
      </w:r>
      <w:r w:rsidR="0009497E">
        <w:rPr>
          <w:rFonts w:asciiTheme="majorHAnsi" w:hAnsiTheme="majorHAnsi" w:cstheme="majorHAnsi"/>
          <w:sz w:val="20"/>
          <w:szCs w:val="20"/>
        </w:rPr>
        <w:t>Dr. Winterstein mentioned concern</w:t>
      </w:r>
      <w:r w:rsidR="006A077D">
        <w:rPr>
          <w:rFonts w:asciiTheme="majorHAnsi" w:hAnsiTheme="majorHAnsi" w:cstheme="majorHAnsi"/>
          <w:sz w:val="20"/>
          <w:szCs w:val="20"/>
        </w:rPr>
        <w:t>s</w:t>
      </w:r>
      <w:r w:rsidR="0009497E">
        <w:rPr>
          <w:rFonts w:asciiTheme="majorHAnsi" w:hAnsiTheme="majorHAnsi" w:cstheme="majorHAnsi"/>
          <w:sz w:val="20"/>
          <w:szCs w:val="20"/>
        </w:rPr>
        <w:t xml:space="preserve"> </w:t>
      </w:r>
      <w:r w:rsidR="006A077D">
        <w:rPr>
          <w:rFonts w:asciiTheme="majorHAnsi" w:hAnsiTheme="majorHAnsi" w:cstheme="majorHAnsi"/>
          <w:sz w:val="20"/>
          <w:szCs w:val="20"/>
        </w:rPr>
        <w:t xml:space="preserve">that </w:t>
      </w:r>
      <w:r w:rsidR="00424431">
        <w:rPr>
          <w:rFonts w:asciiTheme="majorHAnsi" w:hAnsiTheme="majorHAnsi" w:cstheme="majorHAnsi"/>
          <w:sz w:val="20"/>
          <w:szCs w:val="20"/>
        </w:rPr>
        <w:t xml:space="preserve">other conferences </w:t>
      </w:r>
      <w:r w:rsidR="0009497E">
        <w:rPr>
          <w:rFonts w:asciiTheme="majorHAnsi" w:hAnsiTheme="majorHAnsi" w:cstheme="majorHAnsi"/>
          <w:sz w:val="20"/>
          <w:szCs w:val="20"/>
        </w:rPr>
        <w:t>hav</w:t>
      </w:r>
      <w:r w:rsidR="006A077D">
        <w:rPr>
          <w:rFonts w:asciiTheme="majorHAnsi" w:hAnsiTheme="majorHAnsi" w:cstheme="majorHAnsi"/>
          <w:sz w:val="20"/>
          <w:szCs w:val="20"/>
        </w:rPr>
        <w:t>e</w:t>
      </w:r>
      <w:r w:rsidR="0009497E">
        <w:rPr>
          <w:rFonts w:asciiTheme="majorHAnsi" w:hAnsiTheme="majorHAnsi" w:cstheme="majorHAnsi"/>
          <w:sz w:val="20"/>
          <w:szCs w:val="20"/>
        </w:rPr>
        <w:t xml:space="preserve"> more of a commercial focus</w:t>
      </w:r>
      <w:r w:rsidR="006A077D">
        <w:rPr>
          <w:rFonts w:asciiTheme="majorHAnsi" w:hAnsiTheme="majorHAnsi" w:cstheme="majorHAnsi"/>
          <w:sz w:val="20"/>
          <w:szCs w:val="20"/>
        </w:rPr>
        <w:t>,</w:t>
      </w:r>
      <w:r w:rsidR="0009497E">
        <w:rPr>
          <w:rFonts w:asciiTheme="majorHAnsi" w:hAnsiTheme="majorHAnsi" w:cstheme="majorHAnsi"/>
          <w:sz w:val="20"/>
          <w:szCs w:val="20"/>
        </w:rPr>
        <w:t xml:space="preserve"> which d</w:t>
      </w:r>
      <w:r w:rsidR="006A077D">
        <w:rPr>
          <w:rFonts w:asciiTheme="majorHAnsi" w:hAnsiTheme="majorHAnsi" w:cstheme="majorHAnsi"/>
          <w:sz w:val="20"/>
          <w:szCs w:val="20"/>
        </w:rPr>
        <w:t>id</w:t>
      </w:r>
      <w:r w:rsidR="00424431">
        <w:rPr>
          <w:rFonts w:asciiTheme="majorHAnsi" w:hAnsiTheme="majorHAnsi" w:cstheme="majorHAnsi"/>
          <w:sz w:val="20"/>
          <w:szCs w:val="20"/>
        </w:rPr>
        <w:t xml:space="preserve"> not</w:t>
      </w:r>
      <w:r w:rsidR="0009497E">
        <w:rPr>
          <w:rFonts w:asciiTheme="majorHAnsi" w:hAnsiTheme="majorHAnsi" w:cstheme="majorHAnsi"/>
          <w:sz w:val="20"/>
          <w:szCs w:val="20"/>
        </w:rPr>
        <w:t xml:space="preserve"> align with CCORC’s purpose.</w:t>
      </w:r>
      <w:r w:rsidR="00CE7E1C">
        <w:rPr>
          <w:rFonts w:asciiTheme="majorHAnsi" w:hAnsiTheme="majorHAnsi" w:cstheme="majorHAnsi"/>
          <w:sz w:val="20"/>
          <w:szCs w:val="20"/>
        </w:rPr>
        <w:t xml:space="preserve"> Dr. </w:t>
      </w:r>
      <w:r w:rsidR="00CE7E1C" w:rsidRPr="00361D7A">
        <w:rPr>
          <w:rFonts w:asciiTheme="majorHAnsi" w:hAnsiTheme="majorHAnsi" w:cstheme="majorHAnsi"/>
          <w:sz w:val="20"/>
          <w:szCs w:val="20"/>
        </w:rPr>
        <w:t>Singla</w:t>
      </w:r>
      <w:r w:rsidR="00CE7E1C">
        <w:rPr>
          <w:rFonts w:asciiTheme="majorHAnsi" w:hAnsiTheme="majorHAnsi" w:cstheme="majorHAnsi"/>
          <w:sz w:val="20"/>
          <w:szCs w:val="20"/>
        </w:rPr>
        <w:t xml:space="preserve"> suggested focusing on attracting pharmacists, clinicians, and community members involved in medical marijuana </w:t>
      </w:r>
      <w:r w:rsidR="007127DC">
        <w:rPr>
          <w:rFonts w:asciiTheme="majorHAnsi" w:hAnsiTheme="majorHAnsi" w:cstheme="majorHAnsi"/>
          <w:sz w:val="20"/>
          <w:szCs w:val="20"/>
        </w:rPr>
        <w:t xml:space="preserve">(MMJ) </w:t>
      </w:r>
      <w:r w:rsidR="00CE7E1C">
        <w:rPr>
          <w:rFonts w:asciiTheme="majorHAnsi" w:hAnsiTheme="majorHAnsi" w:cstheme="majorHAnsi"/>
          <w:sz w:val="20"/>
          <w:szCs w:val="20"/>
        </w:rPr>
        <w:t>to CCORC</w:t>
      </w:r>
      <w:r w:rsidR="00C803FB">
        <w:rPr>
          <w:rFonts w:asciiTheme="majorHAnsi" w:hAnsiTheme="majorHAnsi" w:cstheme="majorHAnsi"/>
          <w:sz w:val="20"/>
          <w:szCs w:val="20"/>
        </w:rPr>
        <w:t xml:space="preserve"> and Dr. Anderson </w:t>
      </w:r>
      <w:r w:rsidR="0042780E">
        <w:rPr>
          <w:rFonts w:asciiTheme="majorHAnsi" w:hAnsiTheme="majorHAnsi" w:cstheme="majorHAnsi"/>
          <w:sz w:val="20"/>
          <w:szCs w:val="20"/>
        </w:rPr>
        <w:t>agreed</w:t>
      </w:r>
      <w:r w:rsidR="006A077D">
        <w:rPr>
          <w:rFonts w:asciiTheme="majorHAnsi" w:hAnsiTheme="majorHAnsi" w:cstheme="majorHAnsi"/>
          <w:sz w:val="20"/>
          <w:szCs w:val="20"/>
        </w:rPr>
        <w:t>,</w:t>
      </w:r>
      <w:r w:rsidR="0042780E">
        <w:rPr>
          <w:rFonts w:asciiTheme="majorHAnsi" w:hAnsiTheme="majorHAnsi" w:cstheme="majorHAnsi"/>
          <w:sz w:val="20"/>
          <w:szCs w:val="20"/>
        </w:rPr>
        <w:t xml:space="preserve"> and </w:t>
      </w:r>
      <w:r w:rsidR="006A077D">
        <w:rPr>
          <w:rFonts w:asciiTheme="majorHAnsi" w:hAnsiTheme="majorHAnsi" w:cstheme="majorHAnsi"/>
          <w:sz w:val="20"/>
          <w:szCs w:val="20"/>
        </w:rPr>
        <w:t>encouraged</w:t>
      </w:r>
      <w:r w:rsidR="00C803FB">
        <w:rPr>
          <w:rFonts w:asciiTheme="majorHAnsi" w:hAnsiTheme="majorHAnsi" w:cstheme="majorHAnsi"/>
          <w:sz w:val="20"/>
          <w:szCs w:val="20"/>
        </w:rPr>
        <w:t xml:space="preserve"> </w:t>
      </w:r>
      <w:r w:rsidR="0042780E">
        <w:rPr>
          <w:rFonts w:asciiTheme="majorHAnsi" w:hAnsiTheme="majorHAnsi" w:cstheme="majorHAnsi"/>
          <w:sz w:val="20"/>
          <w:szCs w:val="20"/>
        </w:rPr>
        <w:t xml:space="preserve">having </w:t>
      </w:r>
      <w:r w:rsidR="00C803FB">
        <w:rPr>
          <w:rFonts w:asciiTheme="majorHAnsi" w:hAnsiTheme="majorHAnsi" w:cstheme="majorHAnsi"/>
          <w:sz w:val="20"/>
          <w:szCs w:val="20"/>
        </w:rPr>
        <w:t xml:space="preserve">a panel </w:t>
      </w:r>
      <w:r w:rsidR="006A077D">
        <w:rPr>
          <w:rFonts w:asciiTheme="majorHAnsi" w:hAnsiTheme="majorHAnsi" w:cstheme="majorHAnsi"/>
          <w:sz w:val="20"/>
          <w:szCs w:val="20"/>
        </w:rPr>
        <w:t xml:space="preserve">discussion featuring </w:t>
      </w:r>
      <w:r w:rsidR="00C803FB">
        <w:rPr>
          <w:rFonts w:asciiTheme="majorHAnsi" w:hAnsiTheme="majorHAnsi" w:cstheme="majorHAnsi"/>
          <w:sz w:val="20"/>
          <w:szCs w:val="20"/>
        </w:rPr>
        <w:t>these stakeholders at CCORC</w:t>
      </w:r>
      <w:r w:rsidR="00CE7E1C">
        <w:rPr>
          <w:rFonts w:asciiTheme="majorHAnsi" w:hAnsiTheme="majorHAnsi" w:cstheme="majorHAnsi"/>
          <w:sz w:val="20"/>
          <w:szCs w:val="20"/>
        </w:rPr>
        <w:t xml:space="preserve">. Dr. Winterstein suggested collaborating with FAMU MMERI to increase exposure. Dr. Weatherford, director of FAMU MMERI, expressed interest in working </w:t>
      </w:r>
      <w:r w:rsidR="00424431">
        <w:rPr>
          <w:rFonts w:asciiTheme="majorHAnsi" w:hAnsiTheme="majorHAnsi" w:cstheme="majorHAnsi"/>
          <w:sz w:val="20"/>
          <w:szCs w:val="20"/>
        </w:rPr>
        <w:t>collaboratively to promote CCORC</w:t>
      </w:r>
      <w:r w:rsidR="00CE7E1C">
        <w:rPr>
          <w:rFonts w:asciiTheme="majorHAnsi" w:hAnsiTheme="majorHAnsi" w:cstheme="majorHAnsi"/>
          <w:sz w:val="20"/>
          <w:szCs w:val="20"/>
        </w:rPr>
        <w:t xml:space="preserve">. </w:t>
      </w:r>
      <w:r w:rsidR="00877084">
        <w:rPr>
          <w:rFonts w:asciiTheme="majorHAnsi" w:hAnsiTheme="majorHAnsi" w:cstheme="majorHAnsi"/>
          <w:sz w:val="20"/>
          <w:szCs w:val="20"/>
        </w:rPr>
        <w:t xml:space="preserve">The board members expressed concern that the recreational marijuana vote in November may change the </w:t>
      </w:r>
      <w:r w:rsidR="00877084" w:rsidRPr="002B0612">
        <w:rPr>
          <w:rFonts w:asciiTheme="majorHAnsi" w:hAnsiTheme="majorHAnsi" w:cstheme="majorHAnsi"/>
          <w:sz w:val="20"/>
          <w:szCs w:val="20"/>
        </w:rPr>
        <w:t>circumstances. Dr. Singla suggested bringing legislators into the scientific committee to get them involved and interested</w:t>
      </w:r>
      <w:r w:rsidR="0042780E">
        <w:rPr>
          <w:rFonts w:asciiTheme="majorHAnsi" w:hAnsiTheme="majorHAnsi" w:cstheme="majorHAnsi"/>
          <w:sz w:val="20"/>
          <w:szCs w:val="20"/>
        </w:rPr>
        <w:t xml:space="preserve"> and increas</w:t>
      </w:r>
      <w:r w:rsidR="006A077D">
        <w:rPr>
          <w:rFonts w:asciiTheme="majorHAnsi" w:hAnsiTheme="majorHAnsi" w:cstheme="majorHAnsi"/>
          <w:sz w:val="20"/>
          <w:szCs w:val="20"/>
        </w:rPr>
        <w:t>ing</w:t>
      </w:r>
      <w:r w:rsidR="0042780E">
        <w:rPr>
          <w:rFonts w:asciiTheme="majorHAnsi" w:hAnsiTheme="majorHAnsi" w:cstheme="majorHAnsi"/>
          <w:sz w:val="20"/>
          <w:szCs w:val="20"/>
        </w:rPr>
        <w:t xml:space="preserve"> media visibility of CCORC</w:t>
      </w:r>
      <w:r w:rsidR="00877084" w:rsidRPr="002B0612">
        <w:rPr>
          <w:rFonts w:asciiTheme="majorHAnsi" w:hAnsiTheme="majorHAnsi" w:cstheme="majorHAnsi"/>
          <w:sz w:val="20"/>
          <w:szCs w:val="20"/>
        </w:rPr>
        <w:t>.</w:t>
      </w:r>
      <w:r w:rsidR="0087708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F3232C1" w14:textId="77777777" w:rsidR="00543B21" w:rsidRDefault="00543B21" w:rsidP="00543B21">
      <w:pPr>
        <w:pStyle w:val="Heading2"/>
        <w:spacing w:before="0"/>
        <w:rPr>
          <w:rFonts w:cstheme="majorHAnsi"/>
          <w:b/>
          <w:sz w:val="20"/>
          <w:szCs w:val="20"/>
        </w:rPr>
      </w:pPr>
    </w:p>
    <w:p w14:paraId="00000050" w14:textId="56A2660F" w:rsidR="00C25815" w:rsidRDefault="009F10A8" w:rsidP="00543B21">
      <w:pPr>
        <w:pStyle w:val="Heading2"/>
        <w:spacing w:before="0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 xml:space="preserve">Consortium </w:t>
      </w:r>
      <w:r w:rsidR="00AA2893" w:rsidRPr="00767145">
        <w:rPr>
          <w:rFonts w:cstheme="majorHAnsi"/>
          <w:b/>
          <w:sz w:val="20"/>
          <w:szCs w:val="20"/>
        </w:rPr>
        <w:t>Progress Updates and Upcoming Activities</w:t>
      </w:r>
    </w:p>
    <w:p w14:paraId="32CB95CC" w14:textId="60F36CA0" w:rsidR="007F7552" w:rsidRDefault="007F7552" w:rsidP="007F7552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t xml:space="preserve">Dr. Winterstein </w:t>
      </w:r>
      <w:r w:rsidR="00C408A0">
        <w:rPr>
          <w:rFonts w:asciiTheme="majorHAnsi" w:hAnsiTheme="majorHAnsi" w:cstheme="majorHAnsi"/>
          <w:sz w:val="20"/>
          <w:szCs w:val="20"/>
        </w:rPr>
        <w:t>presented the</w:t>
      </w:r>
      <w:r w:rsidRPr="00361D7A">
        <w:rPr>
          <w:rFonts w:asciiTheme="majorHAnsi" w:hAnsiTheme="majorHAnsi" w:cstheme="majorHAnsi"/>
          <w:sz w:val="20"/>
          <w:szCs w:val="20"/>
        </w:rPr>
        <w:t xml:space="preserve"> Consortium</w:t>
      </w:r>
      <w:r w:rsidR="00877084">
        <w:rPr>
          <w:rFonts w:asciiTheme="majorHAnsi" w:hAnsiTheme="majorHAnsi" w:cstheme="majorHAnsi"/>
          <w:sz w:val="20"/>
          <w:szCs w:val="20"/>
        </w:rPr>
        <w:t xml:space="preserve"> </w:t>
      </w:r>
      <w:r w:rsidR="002B0612" w:rsidRPr="00361D7A">
        <w:rPr>
          <w:rFonts w:asciiTheme="majorHAnsi" w:hAnsiTheme="majorHAnsi" w:cstheme="majorHAnsi"/>
          <w:sz w:val="20"/>
          <w:szCs w:val="20"/>
        </w:rPr>
        <w:t>outputs included in the Annual Report submitted to the Governor and legislative members</w:t>
      </w:r>
      <w:r w:rsidR="00AD79D3">
        <w:rPr>
          <w:rFonts w:asciiTheme="majorHAnsi" w:hAnsiTheme="majorHAnsi" w:cstheme="majorHAnsi"/>
          <w:sz w:val="20"/>
          <w:szCs w:val="20"/>
        </w:rPr>
        <w:t xml:space="preserve"> in Feb 2024</w:t>
      </w:r>
      <w:r w:rsidR="002B0612" w:rsidRPr="00361D7A">
        <w:rPr>
          <w:rFonts w:asciiTheme="majorHAnsi" w:hAnsiTheme="majorHAnsi" w:cstheme="majorHAnsi"/>
          <w:sz w:val="20"/>
          <w:szCs w:val="20"/>
        </w:rPr>
        <w:t xml:space="preserve">. Dr. Winterstein </w:t>
      </w:r>
      <w:r w:rsidR="002B0612">
        <w:rPr>
          <w:rFonts w:asciiTheme="majorHAnsi" w:hAnsiTheme="majorHAnsi" w:cstheme="majorHAnsi"/>
          <w:sz w:val="20"/>
          <w:szCs w:val="20"/>
        </w:rPr>
        <w:t xml:space="preserve">reported </w:t>
      </w:r>
      <w:r w:rsidR="002B0612" w:rsidRPr="00361D7A">
        <w:rPr>
          <w:rFonts w:asciiTheme="majorHAnsi" w:hAnsiTheme="majorHAnsi" w:cstheme="majorHAnsi"/>
          <w:sz w:val="20"/>
          <w:szCs w:val="20"/>
        </w:rPr>
        <w:t>present</w:t>
      </w:r>
      <w:r w:rsidR="002B0612">
        <w:rPr>
          <w:rFonts w:asciiTheme="majorHAnsi" w:hAnsiTheme="majorHAnsi" w:cstheme="majorHAnsi"/>
          <w:sz w:val="20"/>
          <w:szCs w:val="20"/>
        </w:rPr>
        <w:t>ing</w:t>
      </w:r>
      <w:r w:rsidR="002B0612" w:rsidRPr="00361D7A">
        <w:rPr>
          <w:rFonts w:asciiTheme="majorHAnsi" w:hAnsiTheme="majorHAnsi" w:cstheme="majorHAnsi"/>
          <w:sz w:val="20"/>
          <w:szCs w:val="20"/>
        </w:rPr>
        <w:t xml:space="preserve"> to the FL House Subcommittee on </w:t>
      </w:r>
      <w:r w:rsidR="002B0612">
        <w:rPr>
          <w:rFonts w:asciiTheme="majorHAnsi" w:hAnsiTheme="majorHAnsi" w:cstheme="majorHAnsi"/>
          <w:sz w:val="20"/>
          <w:szCs w:val="20"/>
        </w:rPr>
        <w:t>December 13</w:t>
      </w:r>
      <w:r w:rsidR="002B0612" w:rsidRPr="002B0612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AD79D3">
        <w:rPr>
          <w:rFonts w:asciiTheme="majorHAnsi" w:hAnsiTheme="majorHAnsi" w:cstheme="majorHAnsi"/>
          <w:sz w:val="20"/>
          <w:szCs w:val="20"/>
        </w:rPr>
        <w:t>, 2023</w:t>
      </w:r>
      <w:r w:rsidR="00A543B1">
        <w:rPr>
          <w:rFonts w:asciiTheme="majorHAnsi" w:hAnsiTheme="majorHAnsi" w:cstheme="majorHAnsi"/>
          <w:sz w:val="20"/>
          <w:szCs w:val="20"/>
        </w:rPr>
        <w:t xml:space="preserve">, </w:t>
      </w:r>
      <w:r w:rsidR="002B0612">
        <w:rPr>
          <w:rFonts w:asciiTheme="majorHAnsi" w:hAnsiTheme="majorHAnsi" w:cstheme="majorHAnsi"/>
          <w:sz w:val="20"/>
          <w:szCs w:val="20"/>
        </w:rPr>
        <w:t xml:space="preserve">which was well received. Dr. Winterstein met with the director of OMMU, who </w:t>
      </w:r>
      <w:r w:rsidR="00C408A0">
        <w:rPr>
          <w:rFonts w:asciiTheme="majorHAnsi" w:hAnsiTheme="majorHAnsi" w:cstheme="majorHAnsi"/>
          <w:sz w:val="20"/>
          <w:szCs w:val="20"/>
        </w:rPr>
        <w:t>expressed</w:t>
      </w:r>
      <w:r w:rsidR="002B0612">
        <w:rPr>
          <w:rFonts w:asciiTheme="majorHAnsi" w:hAnsiTheme="majorHAnsi" w:cstheme="majorHAnsi"/>
          <w:sz w:val="20"/>
          <w:szCs w:val="20"/>
        </w:rPr>
        <w:t xml:space="preserve"> interest in collaboration</w:t>
      </w:r>
      <w:r w:rsidR="00481411">
        <w:rPr>
          <w:rFonts w:asciiTheme="majorHAnsi" w:hAnsiTheme="majorHAnsi" w:cstheme="majorHAnsi"/>
          <w:sz w:val="20"/>
          <w:szCs w:val="20"/>
        </w:rPr>
        <w:t>, especially with the info</w:t>
      </w:r>
      <w:r w:rsidR="00543B21">
        <w:rPr>
          <w:rFonts w:asciiTheme="majorHAnsi" w:hAnsiTheme="majorHAnsi" w:cstheme="majorHAnsi"/>
          <w:sz w:val="20"/>
          <w:szCs w:val="20"/>
        </w:rPr>
        <w:t>rmational resources being created</w:t>
      </w:r>
      <w:r w:rsidR="00481411">
        <w:rPr>
          <w:rFonts w:asciiTheme="majorHAnsi" w:hAnsiTheme="majorHAnsi" w:cstheme="majorHAnsi"/>
          <w:sz w:val="20"/>
          <w:szCs w:val="20"/>
        </w:rPr>
        <w:t xml:space="preserve"> for patients and clinicians</w:t>
      </w:r>
      <w:r w:rsidR="00E96BD6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893F679" w14:textId="50B152D8" w:rsidR="00E607DA" w:rsidRDefault="002B0612" w:rsidP="007F7552">
      <w:pPr>
        <w:rPr>
          <w:rFonts w:asciiTheme="majorHAnsi" w:hAnsiTheme="majorHAnsi" w:cstheme="majorHAnsi"/>
          <w:sz w:val="20"/>
          <w:szCs w:val="20"/>
        </w:rPr>
      </w:pPr>
      <w:r w:rsidRPr="00361D7A">
        <w:rPr>
          <w:rFonts w:asciiTheme="majorHAnsi" w:hAnsiTheme="majorHAnsi" w:cstheme="majorHAnsi"/>
          <w:sz w:val="20"/>
          <w:szCs w:val="20"/>
        </w:rPr>
        <w:lastRenderedPageBreak/>
        <w:t>Dr. Winterstein provided updates on the five Consortium pillars.</w:t>
      </w:r>
      <w:r>
        <w:rPr>
          <w:rFonts w:asciiTheme="majorHAnsi" w:hAnsiTheme="majorHAnsi" w:cstheme="majorHAnsi"/>
          <w:sz w:val="20"/>
          <w:szCs w:val="20"/>
        </w:rPr>
        <w:t xml:space="preserve"> The Grants Program has now </w:t>
      </w:r>
      <w:r w:rsidR="00AD79D3">
        <w:rPr>
          <w:rFonts w:asciiTheme="majorHAnsi" w:hAnsiTheme="majorHAnsi" w:cstheme="majorHAnsi"/>
          <w:sz w:val="20"/>
          <w:szCs w:val="20"/>
        </w:rPr>
        <w:t xml:space="preserve">allocated </w:t>
      </w:r>
      <w:r>
        <w:rPr>
          <w:rFonts w:asciiTheme="majorHAnsi" w:hAnsiTheme="majorHAnsi" w:cstheme="majorHAnsi"/>
          <w:sz w:val="20"/>
          <w:szCs w:val="20"/>
        </w:rPr>
        <w:t xml:space="preserve">over $3 million </w:t>
      </w:r>
      <w:r w:rsidR="00AD6A1A">
        <w:rPr>
          <w:rFonts w:asciiTheme="majorHAnsi" w:hAnsiTheme="majorHAnsi" w:cstheme="majorHAnsi"/>
          <w:sz w:val="20"/>
          <w:szCs w:val="20"/>
        </w:rPr>
        <w:t>through 46</w:t>
      </w:r>
      <w:r>
        <w:rPr>
          <w:rFonts w:asciiTheme="majorHAnsi" w:hAnsiTheme="majorHAnsi" w:cstheme="majorHAnsi"/>
          <w:sz w:val="20"/>
          <w:szCs w:val="20"/>
        </w:rPr>
        <w:t xml:space="preserve"> awards and is </w:t>
      </w:r>
      <w:r w:rsidRPr="00361D7A">
        <w:rPr>
          <w:rFonts w:asciiTheme="majorHAnsi" w:hAnsiTheme="majorHAnsi" w:cstheme="majorHAnsi"/>
          <w:sz w:val="20"/>
          <w:szCs w:val="20"/>
        </w:rPr>
        <w:t xml:space="preserve">gearing up to </w:t>
      </w:r>
      <w:r>
        <w:rPr>
          <w:rFonts w:asciiTheme="majorHAnsi" w:hAnsiTheme="majorHAnsi" w:cstheme="majorHAnsi"/>
          <w:sz w:val="20"/>
          <w:szCs w:val="20"/>
        </w:rPr>
        <w:t>finalize</w:t>
      </w:r>
      <w:r w:rsidRPr="00361D7A">
        <w:rPr>
          <w:rFonts w:asciiTheme="majorHAnsi" w:hAnsiTheme="majorHAnsi" w:cstheme="majorHAnsi"/>
          <w:sz w:val="20"/>
          <w:szCs w:val="20"/>
        </w:rPr>
        <w:t xml:space="preserve"> the awards for the </w:t>
      </w:r>
      <w:r w:rsidR="00AD6A1A">
        <w:rPr>
          <w:rFonts w:asciiTheme="majorHAnsi" w:hAnsiTheme="majorHAnsi" w:cstheme="majorHAnsi"/>
          <w:sz w:val="20"/>
          <w:szCs w:val="20"/>
        </w:rPr>
        <w:t>sixth</w:t>
      </w:r>
      <w:r w:rsidRPr="00361D7A">
        <w:rPr>
          <w:rFonts w:asciiTheme="majorHAnsi" w:hAnsiTheme="majorHAnsi" w:cstheme="majorHAnsi"/>
          <w:sz w:val="20"/>
          <w:szCs w:val="20"/>
        </w:rPr>
        <w:t xml:space="preserve"> cycle in early July.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AD6A1A">
        <w:rPr>
          <w:rFonts w:asciiTheme="majorHAnsi" w:hAnsiTheme="majorHAnsi" w:cstheme="majorHAnsi"/>
          <w:sz w:val="20"/>
          <w:szCs w:val="20"/>
        </w:rPr>
        <w:t xml:space="preserve">MEMORY has now successfully linked </w:t>
      </w:r>
      <w:proofErr w:type="spellStart"/>
      <w:r w:rsidR="00AD6A1A">
        <w:rPr>
          <w:rFonts w:asciiTheme="majorHAnsi" w:hAnsiTheme="majorHAnsi" w:cstheme="majorHAnsi"/>
          <w:sz w:val="20"/>
          <w:szCs w:val="20"/>
        </w:rPr>
        <w:t>Do</w:t>
      </w:r>
      <w:r w:rsidR="004A697D">
        <w:rPr>
          <w:rFonts w:asciiTheme="majorHAnsi" w:hAnsiTheme="majorHAnsi" w:cstheme="majorHAnsi"/>
          <w:sz w:val="20"/>
          <w:szCs w:val="20"/>
        </w:rPr>
        <w:t>H</w:t>
      </w:r>
      <w:proofErr w:type="spellEnd"/>
      <w:r w:rsidR="00AD6A1A">
        <w:rPr>
          <w:rFonts w:asciiTheme="majorHAnsi" w:hAnsiTheme="majorHAnsi" w:cstheme="majorHAnsi"/>
          <w:sz w:val="20"/>
          <w:szCs w:val="20"/>
        </w:rPr>
        <w:t xml:space="preserve"> </w:t>
      </w:r>
      <w:r w:rsidR="003A1A1F">
        <w:rPr>
          <w:rFonts w:asciiTheme="majorHAnsi" w:hAnsiTheme="majorHAnsi" w:cstheme="majorHAnsi"/>
          <w:sz w:val="20"/>
          <w:szCs w:val="20"/>
        </w:rPr>
        <w:t xml:space="preserve">MMUR </w:t>
      </w:r>
      <w:r w:rsidR="00AD6A1A">
        <w:rPr>
          <w:rFonts w:asciiTheme="majorHAnsi" w:hAnsiTheme="majorHAnsi" w:cstheme="majorHAnsi"/>
          <w:sz w:val="20"/>
          <w:szCs w:val="20"/>
        </w:rPr>
        <w:t>data to Medicaid and Florida Vital Statistics data</w:t>
      </w:r>
      <w:r w:rsidR="004A697D">
        <w:rPr>
          <w:rFonts w:asciiTheme="majorHAnsi" w:hAnsiTheme="majorHAnsi" w:cstheme="majorHAnsi"/>
          <w:sz w:val="20"/>
          <w:szCs w:val="20"/>
        </w:rPr>
        <w:t xml:space="preserve"> and</w:t>
      </w:r>
      <w:r w:rsidR="00AD6A1A">
        <w:rPr>
          <w:rFonts w:asciiTheme="majorHAnsi" w:hAnsiTheme="majorHAnsi" w:cstheme="majorHAnsi"/>
          <w:sz w:val="20"/>
          <w:szCs w:val="20"/>
        </w:rPr>
        <w:t xml:space="preserve"> </w:t>
      </w:r>
      <w:r w:rsidR="004A697D">
        <w:rPr>
          <w:rFonts w:asciiTheme="majorHAnsi" w:hAnsiTheme="majorHAnsi" w:cstheme="majorHAnsi"/>
          <w:sz w:val="20"/>
          <w:szCs w:val="20"/>
        </w:rPr>
        <w:t>de</w:t>
      </w:r>
      <w:r w:rsidR="00AD6A1A">
        <w:rPr>
          <w:rFonts w:asciiTheme="majorHAnsi" w:hAnsiTheme="majorHAnsi" w:cstheme="majorHAnsi"/>
          <w:sz w:val="20"/>
          <w:szCs w:val="20"/>
        </w:rPr>
        <w:t>identif</w:t>
      </w:r>
      <w:r w:rsidR="00D815E2">
        <w:rPr>
          <w:rFonts w:asciiTheme="majorHAnsi" w:hAnsiTheme="majorHAnsi" w:cstheme="majorHAnsi"/>
          <w:sz w:val="20"/>
          <w:szCs w:val="20"/>
        </w:rPr>
        <w:t>ication</w:t>
      </w:r>
      <w:r w:rsidR="00AD6A1A">
        <w:rPr>
          <w:rFonts w:asciiTheme="majorHAnsi" w:hAnsiTheme="majorHAnsi" w:cstheme="majorHAnsi"/>
          <w:sz w:val="20"/>
          <w:szCs w:val="20"/>
        </w:rPr>
        <w:t xml:space="preserve"> </w:t>
      </w:r>
      <w:r w:rsidR="00D815E2">
        <w:rPr>
          <w:rFonts w:asciiTheme="majorHAnsi" w:hAnsiTheme="majorHAnsi" w:cstheme="majorHAnsi"/>
          <w:sz w:val="20"/>
          <w:szCs w:val="20"/>
        </w:rPr>
        <w:t xml:space="preserve">of </w:t>
      </w:r>
      <w:r w:rsidR="00AD6A1A">
        <w:rPr>
          <w:rFonts w:asciiTheme="majorHAnsi" w:hAnsiTheme="majorHAnsi" w:cstheme="majorHAnsi"/>
          <w:sz w:val="20"/>
          <w:szCs w:val="20"/>
        </w:rPr>
        <w:t>the data</w:t>
      </w:r>
      <w:r w:rsidR="00D815E2">
        <w:rPr>
          <w:rFonts w:asciiTheme="majorHAnsi" w:hAnsiTheme="majorHAnsi" w:cstheme="majorHAnsi"/>
          <w:sz w:val="20"/>
          <w:szCs w:val="20"/>
        </w:rPr>
        <w:t xml:space="preserve"> is in progress before it will be available to researchers from Consortium member universities.</w:t>
      </w:r>
      <w:r w:rsidR="00AD6A1A">
        <w:rPr>
          <w:rFonts w:asciiTheme="majorHAnsi" w:hAnsiTheme="majorHAnsi" w:cstheme="majorHAnsi"/>
          <w:sz w:val="20"/>
          <w:szCs w:val="20"/>
        </w:rPr>
        <w:t xml:space="preserve"> Linkages that have been established can be requested </w:t>
      </w:r>
      <w:r w:rsidR="00D815E2">
        <w:rPr>
          <w:rFonts w:asciiTheme="majorHAnsi" w:hAnsiTheme="majorHAnsi" w:cstheme="majorHAnsi"/>
          <w:sz w:val="20"/>
          <w:szCs w:val="20"/>
        </w:rPr>
        <w:t xml:space="preserve">using </w:t>
      </w:r>
      <w:r w:rsidR="004A697D">
        <w:rPr>
          <w:rFonts w:asciiTheme="majorHAnsi" w:hAnsiTheme="majorHAnsi" w:cstheme="majorHAnsi"/>
          <w:sz w:val="20"/>
          <w:szCs w:val="20"/>
        </w:rPr>
        <w:t xml:space="preserve">instructions </w:t>
      </w:r>
      <w:r w:rsidR="00D815E2">
        <w:rPr>
          <w:rFonts w:asciiTheme="majorHAnsi" w:hAnsiTheme="majorHAnsi" w:cstheme="majorHAnsi"/>
          <w:sz w:val="20"/>
          <w:szCs w:val="20"/>
        </w:rPr>
        <w:t xml:space="preserve">on our </w:t>
      </w:r>
      <w:r w:rsidR="00AD6A1A">
        <w:rPr>
          <w:rFonts w:asciiTheme="majorHAnsi" w:hAnsiTheme="majorHAnsi" w:cstheme="majorHAnsi"/>
          <w:sz w:val="20"/>
          <w:szCs w:val="20"/>
        </w:rPr>
        <w:t xml:space="preserve">website. </w:t>
      </w:r>
      <w:r w:rsidR="003D52CB">
        <w:rPr>
          <w:rFonts w:asciiTheme="majorHAnsi" w:hAnsiTheme="majorHAnsi" w:cstheme="majorHAnsi"/>
          <w:sz w:val="20"/>
          <w:szCs w:val="20"/>
        </w:rPr>
        <w:t>Medical Marijuana and Me (M</w:t>
      </w:r>
      <w:r w:rsidR="003D52CB" w:rsidRPr="003D52CB">
        <w:rPr>
          <w:rFonts w:asciiTheme="majorHAnsi" w:hAnsiTheme="majorHAnsi" w:cstheme="majorHAnsi"/>
          <w:sz w:val="20"/>
          <w:szCs w:val="20"/>
          <w:vertAlign w:val="superscript"/>
        </w:rPr>
        <w:t>3</w:t>
      </w:r>
      <w:r w:rsidR="003D52CB">
        <w:rPr>
          <w:rFonts w:asciiTheme="majorHAnsi" w:hAnsiTheme="majorHAnsi" w:cstheme="majorHAnsi"/>
          <w:sz w:val="20"/>
          <w:szCs w:val="20"/>
        </w:rPr>
        <w:t xml:space="preserve">) had a total of 632 </w:t>
      </w:r>
      <w:r w:rsidR="007127DC">
        <w:rPr>
          <w:rFonts w:asciiTheme="majorHAnsi" w:hAnsiTheme="majorHAnsi" w:cstheme="majorHAnsi"/>
          <w:sz w:val="20"/>
          <w:szCs w:val="20"/>
        </w:rPr>
        <w:t>MMJ</w:t>
      </w:r>
      <w:r w:rsidR="003D52CB">
        <w:rPr>
          <w:rFonts w:asciiTheme="majorHAnsi" w:hAnsiTheme="majorHAnsi" w:cstheme="majorHAnsi"/>
          <w:sz w:val="20"/>
          <w:szCs w:val="20"/>
        </w:rPr>
        <w:t xml:space="preserve"> users enrolled in the cross-sectional survey and 602 users enrolled in the longitudinal survey. Data from the survey is available for researchers</w:t>
      </w:r>
      <w:r w:rsidR="00A326D2">
        <w:rPr>
          <w:rFonts w:asciiTheme="majorHAnsi" w:hAnsiTheme="majorHAnsi" w:cstheme="majorHAnsi"/>
          <w:sz w:val="20"/>
          <w:szCs w:val="20"/>
        </w:rPr>
        <w:t xml:space="preserve"> </w:t>
      </w:r>
      <w:r w:rsidR="006F0BCF">
        <w:rPr>
          <w:rFonts w:asciiTheme="majorHAnsi" w:hAnsiTheme="majorHAnsi" w:cstheme="majorHAnsi"/>
          <w:sz w:val="20"/>
          <w:szCs w:val="20"/>
        </w:rPr>
        <w:t>upon</w:t>
      </w:r>
      <w:r w:rsidR="003D52CB">
        <w:rPr>
          <w:rFonts w:asciiTheme="majorHAnsi" w:hAnsiTheme="majorHAnsi" w:cstheme="majorHAnsi"/>
          <w:sz w:val="20"/>
          <w:szCs w:val="20"/>
        </w:rPr>
        <w:t xml:space="preserve"> request. The Clinical Core has provided clinical trial support to several member institutions including UF, UCF, FAMU, FIU, and UM</w:t>
      </w:r>
      <w:r w:rsidR="00E96BD6">
        <w:rPr>
          <w:rFonts w:asciiTheme="majorHAnsi" w:hAnsiTheme="majorHAnsi" w:cstheme="majorHAnsi"/>
          <w:sz w:val="20"/>
          <w:szCs w:val="20"/>
        </w:rPr>
        <w:t xml:space="preserve"> which has resulted in</w:t>
      </w:r>
      <w:r w:rsidR="003D52CB">
        <w:rPr>
          <w:rFonts w:asciiTheme="majorHAnsi" w:hAnsiTheme="majorHAnsi" w:cstheme="majorHAnsi"/>
          <w:sz w:val="20"/>
          <w:szCs w:val="20"/>
        </w:rPr>
        <w:t xml:space="preserve"> 5 successful INDs for CBD-based protocols. The CARMMA database will soon be publicly available for viewing and collaborating. </w:t>
      </w:r>
      <w:r w:rsidR="00B604A0" w:rsidRPr="00361D7A">
        <w:rPr>
          <w:rFonts w:asciiTheme="majorHAnsi" w:hAnsiTheme="majorHAnsi" w:cstheme="majorHAnsi"/>
          <w:sz w:val="20"/>
          <w:szCs w:val="20"/>
        </w:rPr>
        <w:t>Outreach activities include the quarterly Newsletter MEDICAMENT</w:t>
      </w:r>
      <w:r w:rsidR="00C408A0">
        <w:rPr>
          <w:rFonts w:asciiTheme="majorHAnsi" w:hAnsiTheme="majorHAnsi" w:cstheme="majorHAnsi"/>
          <w:sz w:val="20"/>
          <w:szCs w:val="20"/>
        </w:rPr>
        <w:t>, website</w:t>
      </w:r>
      <w:r w:rsidR="00B604A0" w:rsidRPr="00361D7A">
        <w:rPr>
          <w:rFonts w:asciiTheme="majorHAnsi" w:hAnsiTheme="majorHAnsi" w:cstheme="majorHAnsi"/>
          <w:sz w:val="20"/>
          <w:szCs w:val="20"/>
        </w:rPr>
        <w:t xml:space="preserve"> and research spotlight series. Dr. Winterstein </w:t>
      </w:r>
      <w:r w:rsidR="00C408A0">
        <w:rPr>
          <w:rFonts w:asciiTheme="majorHAnsi" w:hAnsiTheme="majorHAnsi" w:cstheme="majorHAnsi"/>
          <w:sz w:val="20"/>
          <w:szCs w:val="20"/>
        </w:rPr>
        <w:t>invited</w:t>
      </w:r>
      <w:r w:rsidR="00B604A0" w:rsidRPr="00361D7A">
        <w:rPr>
          <w:rFonts w:asciiTheme="majorHAnsi" w:hAnsiTheme="majorHAnsi" w:cstheme="majorHAnsi"/>
          <w:sz w:val="20"/>
          <w:szCs w:val="20"/>
        </w:rPr>
        <w:t xml:space="preserve"> suggestions for </w:t>
      </w:r>
      <w:r w:rsidR="00B604A0">
        <w:rPr>
          <w:rFonts w:asciiTheme="majorHAnsi" w:hAnsiTheme="majorHAnsi" w:cstheme="majorHAnsi"/>
          <w:sz w:val="20"/>
          <w:szCs w:val="20"/>
        </w:rPr>
        <w:t xml:space="preserve">researchers from </w:t>
      </w:r>
      <w:r w:rsidR="00C408A0">
        <w:rPr>
          <w:rFonts w:asciiTheme="majorHAnsi" w:hAnsiTheme="majorHAnsi" w:cstheme="majorHAnsi"/>
          <w:sz w:val="20"/>
          <w:szCs w:val="20"/>
        </w:rPr>
        <w:t xml:space="preserve">non-UF </w:t>
      </w:r>
      <w:r w:rsidR="00B604A0">
        <w:rPr>
          <w:rFonts w:asciiTheme="majorHAnsi" w:hAnsiTheme="majorHAnsi" w:cstheme="majorHAnsi"/>
          <w:sz w:val="20"/>
          <w:szCs w:val="20"/>
        </w:rPr>
        <w:t>member institution</w:t>
      </w:r>
      <w:r w:rsidR="00483E31">
        <w:rPr>
          <w:rFonts w:asciiTheme="majorHAnsi" w:hAnsiTheme="majorHAnsi" w:cstheme="majorHAnsi"/>
          <w:sz w:val="20"/>
          <w:szCs w:val="20"/>
        </w:rPr>
        <w:t>s</w:t>
      </w:r>
      <w:r w:rsidR="00B604A0">
        <w:rPr>
          <w:rFonts w:asciiTheme="majorHAnsi" w:hAnsiTheme="majorHAnsi" w:cstheme="majorHAnsi"/>
          <w:sz w:val="20"/>
          <w:szCs w:val="20"/>
        </w:rPr>
        <w:t xml:space="preserve"> to be </w:t>
      </w:r>
      <w:r w:rsidR="00B604A0" w:rsidRPr="00361D7A">
        <w:rPr>
          <w:rFonts w:asciiTheme="majorHAnsi" w:hAnsiTheme="majorHAnsi" w:cstheme="majorHAnsi"/>
          <w:sz w:val="20"/>
          <w:szCs w:val="20"/>
        </w:rPr>
        <w:t>featur</w:t>
      </w:r>
      <w:r w:rsidR="00B604A0">
        <w:rPr>
          <w:rFonts w:asciiTheme="majorHAnsi" w:hAnsiTheme="majorHAnsi" w:cstheme="majorHAnsi"/>
          <w:sz w:val="20"/>
          <w:szCs w:val="20"/>
        </w:rPr>
        <w:t>ed</w:t>
      </w:r>
      <w:r w:rsidR="00B604A0" w:rsidRPr="00361D7A">
        <w:rPr>
          <w:rFonts w:asciiTheme="majorHAnsi" w:hAnsiTheme="majorHAnsi" w:cstheme="majorHAnsi"/>
          <w:sz w:val="20"/>
          <w:szCs w:val="20"/>
        </w:rPr>
        <w:t xml:space="preserve"> in the </w:t>
      </w:r>
      <w:r w:rsidR="00A326D2">
        <w:rPr>
          <w:rFonts w:asciiTheme="majorHAnsi" w:hAnsiTheme="majorHAnsi" w:cstheme="majorHAnsi"/>
          <w:sz w:val="20"/>
          <w:szCs w:val="20"/>
        </w:rPr>
        <w:t xml:space="preserve">researcher </w:t>
      </w:r>
      <w:r w:rsidR="00B604A0" w:rsidRPr="00361D7A">
        <w:rPr>
          <w:rFonts w:asciiTheme="majorHAnsi" w:hAnsiTheme="majorHAnsi" w:cstheme="majorHAnsi"/>
          <w:sz w:val="20"/>
          <w:szCs w:val="20"/>
        </w:rPr>
        <w:t>spotlight series</w:t>
      </w:r>
      <w:r w:rsidR="00B604A0">
        <w:rPr>
          <w:rFonts w:asciiTheme="majorHAnsi" w:hAnsiTheme="majorHAnsi" w:cstheme="majorHAnsi"/>
          <w:sz w:val="20"/>
          <w:szCs w:val="20"/>
        </w:rPr>
        <w:t>,</w:t>
      </w:r>
      <w:r w:rsidR="00B604A0" w:rsidRPr="00361D7A">
        <w:rPr>
          <w:rFonts w:asciiTheme="majorHAnsi" w:hAnsiTheme="majorHAnsi" w:cstheme="majorHAnsi"/>
          <w:sz w:val="20"/>
          <w:szCs w:val="20"/>
        </w:rPr>
        <w:t xml:space="preserve"> which helps illustrate to consumers and providers how </w:t>
      </w:r>
      <w:r w:rsidR="00B604A0">
        <w:rPr>
          <w:rFonts w:asciiTheme="majorHAnsi" w:hAnsiTheme="majorHAnsi" w:cstheme="majorHAnsi"/>
          <w:sz w:val="20"/>
          <w:szCs w:val="20"/>
        </w:rPr>
        <w:t xml:space="preserve">research is conducted. </w:t>
      </w:r>
      <w:r w:rsidR="00483E31">
        <w:rPr>
          <w:rFonts w:asciiTheme="majorHAnsi" w:hAnsiTheme="majorHAnsi" w:cstheme="majorHAnsi"/>
          <w:sz w:val="20"/>
          <w:szCs w:val="20"/>
        </w:rPr>
        <w:t xml:space="preserve">The </w:t>
      </w:r>
      <w:r w:rsidR="00B604A0">
        <w:rPr>
          <w:rFonts w:asciiTheme="majorHAnsi" w:hAnsiTheme="majorHAnsi" w:cstheme="majorHAnsi"/>
          <w:sz w:val="20"/>
          <w:szCs w:val="20"/>
        </w:rPr>
        <w:t xml:space="preserve">Evidence in Context series </w:t>
      </w:r>
      <w:r w:rsidR="00E96BD6">
        <w:rPr>
          <w:rFonts w:asciiTheme="majorHAnsi" w:hAnsiTheme="majorHAnsi" w:cstheme="majorHAnsi"/>
          <w:sz w:val="20"/>
          <w:szCs w:val="20"/>
        </w:rPr>
        <w:t>continues to be</w:t>
      </w:r>
      <w:r w:rsidR="00B604A0">
        <w:rPr>
          <w:rFonts w:asciiTheme="majorHAnsi" w:hAnsiTheme="majorHAnsi" w:cstheme="majorHAnsi"/>
          <w:sz w:val="20"/>
          <w:szCs w:val="20"/>
        </w:rPr>
        <w:t xml:space="preserve"> published through the Consortium’s official journal,</w:t>
      </w:r>
      <w:r w:rsidR="00B604A0" w:rsidRPr="00361D7A">
        <w:rPr>
          <w:rFonts w:asciiTheme="majorHAnsi" w:hAnsiTheme="majorHAnsi" w:cstheme="majorHAnsi"/>
          <w:sz w:val="20"/>
          <w:szCs w:val="20"/>
        </w:rPr>
        <w:t xml:space="preserve"> Medical Cannabis and Cannabinoids</w:t>
      </w:r>
      <w:r w:rsidR="00B604A0">
        <w:rPr>
          <w:rFonts w:asciiTheme="majorHAnsi" w:hAnsiTheme="majorHAnsi" w:cstheme="majorHAnsi"/>
          <w:sz w:val="20"/>
          <w:szCs w:val="20"/>
        </w:rPr>
        <w:t xml:space="preserve">. Patient informational resources </w:t>
      </w:r>
      <w:r w:rsidR="00A51957">
        <w:rPr>
          <w:rFonts w:asciiTheme="majorHAnsi" w:hAnsiTheme="majorHAnsi" w:cstheme="majorHAnsi"/>
          <w:sz w:val="20"/>
          <w:szCs w:val="20"/>
        </w:rPr>
        <w:t>are available</w:t>
      </w:r>
      <w:r w:rsidR="00B604A0">
        <w:rPr>
          <w:rFonts w:asciiTheme="majorHAnsi" w:hAnsiTheme="majorHAnsi" w:cstheme="majorHAnsi"/>
          <w:sz w:val="20"/>
          <w:szCs w:val="20"/>
        </w:rPr>
        <w:t xml:space="preserve"> on the website and a clinician series is in progress. </w:t>
      </w:r>
      <w:r w:rsidR="00483E31" w:rsidRPr="00361D7A">
        <w:rPr>
          <w:rFonts w:asciiTheme="majorHAnsi" w:hAnsiTheme="majorHAnsi" w:cstheme="majorHAnsi"/>
          <w:sz w:val="20"/>
          <w:szCs w:val="20"/>
        </w:rPr>
        <w:t xml:space="preserve">Dr. Winterstein highlighted the ongoing Consortium and </w:t>
      </w:r>
      <w:r w:rsidR="00AE1A55" w:rsidRPr="00AE1A55">
        <w:rPr>
          <w:rFonts w:asciiTheme="majorHAnsi" w:hAnsiTheme="majorHAnsi" w:cstheme="majorHAnsi"/>
          <w:sz w:val="20"/>
          <w:szCs w:val="20"/>
        </w:rPr>
        <w:t>Food and Drug Administration</w:t>
      </w:r>
      <w:r w:rsidR="00AE1A55">
        <w:rPr>
          <w:rFonts w:asciiTheme="majorHAnsi" w:hAnsiTheme="majorHAnsi" w:cstheme="majorHAnsi"/>
          <w:sz w:val="20"/>
          <w:szCs w:val="20"/>
        </w:rPr>
        <w:t xml:space="preserve"> (</w:t>
      </w:r>
      <w:r w:rsidR="00483E31" w:rsidRPr="00361D7A">
        <w:rPr>
          <w:rFonts w:asciiTheme="majorHAnsi" w:hAnsiTheme="majorHAnsi" w:cstheme="majorHAnsi"/>
          <w:sz w:val="20"/>
          <w:szCs w:val="20"/>
        </w:rPr>
        <w:t>FDA</w:t>
      </w:r>
      <w:r w:rsidR="00702079">
        <w:rPr>
          <w:rFonts w:asciiTheme="majorHAnsi" w:hAnsiTheme="majorHAnsi" w:cstheme="majorHAnsi"/>
          <w:sz w:val="20"/>
          <w:szCs w:val="20"/>
        </w:rPr>
        <w:t>)</w:t>
      </w:r>
      <w:r w:rsidR="00483E31" w:rsidRPr="00361D7A">
        <w:rPr>
          <w:rFonts w:asciiTheme="majorHAnsi" w:hAnsiTheme="majorHAnsi" w:cstheme="majorHAnsi"/>
          <w:sz w:val="20"/>
          <w:szCs w:val="20"/>
        </w:rPr>
        <w:t xml:space="preserve"> collaboration to synthesize evidence on clinical risk benefit</w:t>
      </w:r>
      <w:r w:rsidR="00A51957">
        <w:rPr>
          <w:rFonts w:asciiTheme="majorHAnsi" w:hAnsiTheme="majorHAnsi" w:cstheme="majorHAnsi"/>
          <w:sz w:val="20"/>
          <w:szCs w:val="20"/>
        </w:rPr>
        <w:t xml:space="preserve"> of cannabis use</w:t>
      </w:r>
      <w:r w:rsidR="00483E31" w:rsidRPr="00361D7A">
        <w:rPr>
          <w:rFonts w:asciiTheme="majorHAnsi" w:hAnsiTheme="majorHAnsi" w:cstheme="majorHAnsi"/>
          <w:sz w:val="20"/>
          <w:szCs w:val="20"/>
        </w:rPr>
        <w:t>.</w:t>
      </w:r>
      <w:r w:rsidR="00483E31">
        <w:rPr>
          <w:rFonts w:asciiTheme="majorHAnsi" w:hAnsiTheme="majorHAnsi" w:cstheme="majorHAnsi"/>
          <w:sz w:val="20"/>
          <w:szCs w:val="20"/>
        </w:rPr>
        <w:t xml:space="preserve"> The Consortium was prominently involved in the assessment of cannabis classification status, whereby the </w:t>
      </w:r>
      <w:r w:rsidR="00F1326A" w:rsidRPr="00F1326A">
        <w:rPr>
          <w:rFonts w:asciiTheme="majorHAnsi" w:hAnsiTheme="majorHAnsi" w:cstheme="majorHAnsi"/>
          <w:sz w:val="20"/>
          <w:szCs w:val="20"/>
        </w:rPr>
        <w:t xml:space="preserve">Department of Health and Human Services </w:t>
      </w:r>
      <w:r w:rsidR="00F1326A">
        <w:rPr>
          <w:rFonts w:asciiTheme="majorHAnsi" w:hAnsiTheme="majorHAnsi" w:cstheme="majorHAnsi"/>
          <w:sz w:val="20"/>
          <w:szCs w:val="20"/>
        </w:rPr>
        <w:t>(</w:t>
      </w:r>
      <w:r w:rsidR="00483E31">
        <w:rPr>
          <w:rFonts w:asciiTheme="majorHAnsi" w:hAnsiTheme="majorHAnsi" w:cstheme="majorHAnsi"/>
          <w:sz w:val="20"/>
          <w:szCs w:val="20"/>
        </w:rPr>
        <w:t>DHHS</w:t>
      </w:r>
      <w:r w:rsidR="00F1326A">
        <w:rPr>
          <w:rFonts w:asciiTheme="majorHAnsi" w:hAnsiTheme="majorHAnsi" w:cstheme="majorHAnsi"/>
          <w:sz w:val="20"/>
          <w:szCs w:val="20"/>
        </w:rPr>
        <w:t>)</w:t>
      </w:r>
      <w:r w:rsidR="00483E31">
        <w:rPr>
          <w:rFonts w:asciiTheme="majorHAnsi" w:hAnsiTheme="majorHAnsi" w:cstheme="majorHAnsi"/>
          <w:sz w:val="20"/>
          <w:szCs w:val="20"/>
        </w:rPr>
        <w:t xml:space="preserve"> recommended </w:t>
      </w:r>
      <w:r w:rsidR="00C16936">
        <w:rPr>
          <w:rFonts w:asciiTheme="majorHAnsi" w:hAnsiTheme="majorHAnsi" w:cstheme="majorHAnsi"/>
          <w:sz w:val="20"/>
          <w:szCs w:val="20"/>
        </w:rPr>
        <w:t>moving</w:t>
      </w:r>
      <w:r w:rsidR="00483E31">
        <w:rPr>
          <w:rFonts w:asciiTheme="majorHAnsi" w:hAnsiTheme="majorHAnsi" w:cstheme="majorHAnsi"/>
          <w:sz w:val="20"/>
          <w:szCs w:val="20"/>
        </w:rPr>
        <w:t xml:space="preserve"> cannabis from Schedule I to III. The Consortium’s work on safety and effectiveness </w:t>
      </w:r>
      <w:r w:rsidR="00E607DA">
        <w:rPr>
          <w:rFonts w:asciiTheme="majorHAnsi" w:hAnsiTheme="majorHAnsi" w:cstheme="majorHAnsi"/>
          <w:sz w:val="20"/>
          <w:szCs w:val="20"/>
        </w:rPr>
        <w:t xml:space="preserve">is now submitted for publication. </w:t>
      </w:r>
    </w:p>
    <w:p w14:paraId="3216DBCF" w14:textId="070E8E17" w:rsidR="00FE487F" w:rsidRDefault="00092C85" w:rsidP="007F755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Dr. Winterstein s</w:t>
      </w:r>
      <w:r w:rsidR="0088237A">
        <w:rPr>
          <w:rFonts w:asciiTheme="majorHAnsi" w:hAnsiTheme="majorHAnsi" w:cstheme="majorHAnsi"/>
          <w:sz w:val="20"/>
          <w:szCs w:val="20"/>
        </w:rPr>
        <w:t>hared</w:t>
      </w:r>
      <w:r w:rsidR="00C408A0">
        <w:rPr>
          <w:rFonts w:asciiTheme="majorHAnsi" w:hAnsiTheme="majorHAnsi" w:cstheme="majorHAnsi"/>
          <w:sz w:val="20"/>
          <w:szCs w:val="20"/>
        </w:rPr>
        <w:t xml:space="preserve"> that</w:t>
      </w:r>
      <w:r>
        <w:rPr>
          <w:rFonts w:asciiTheme="majorHAnsi" w:hAnsiTheme="majorHAnsi" w:cstheme="majorHAnsi"/>
          <w:sz w:val="20"/>
          <w:szCs w:val="20"/>
        </w:rPr>
        <w:t xml:space="preserve"> the n</w:t>
      </w:r>
      <w:r w:rsidR="00E607DA">
        <w:rPr>
          <w:rFonts w:asciiTheme="majorHAnsi" w:hAnsiTheme="majorHAnsi" w:cstheme="majorHAnsi"/>
          <w:sz w:val="20"/>
          <w:szCs w:val="20"/>
        </w:rPr>
        <w:t xml:space="preserve">ext steps for the Consortium include continuing evaluation of </w:t>
      </w:r>
      <w:r w:rsidR="007127DC">
        <w:rPr>
          <w:rFonts w:asciiTheme="majorHAnsi" w:hAnsiTheme="majorHAnsi" w:cstheme="majorHAnsi"/>
          <w:sz w:val="20"/>
          <w:szCs w:val="20"/>
        </w:rPr>
        <w:t>MMJ</w:t>
      </w:r>
      <w:r w:rsidR="00E607DA">
        <w:rPr>
          <w:rFonts w:asciiTheme="majorHAnsi" w:hAnsiTheme="majorHAnsi" w:cstheme="majorHAnsi"/>
          <w:sz w:val="20"/>
          <w:szCs w:val="20"/>
        </w:rPr>
        <w:t xml:space="preserve"> use patterns in MEMORY and M</w:t>
      </w:r>
      <w:r w:rsidR="00E607DA" w:rsidRPr="003D52CB">
        <w:rPr>
          <w:rFonts w:asciiTheme="majorHAnsi" w:hAnsiTheme="majorHAnsi" w:cstheme="majorHAnsi"/>
          <w:sz w:val="20"/>
          <w:szCs w:val="20"/>
          <w:vertAlign w:val="superscript"/>
        </w:rPr>
        <w:t>3</w:t>
      </w:r>
      <w:r w:rsidR="00E607DA">
        <w:rPr>
          <w:rFonts w:asciiTheme="majorHAnsi" w:hAnsiTheme="majorHAnsi" w:cstheme="majorHAnsi"/>
          <w:sz w:val="20"/>
          <w:szCs w:val="20"/>
        </w:rPr>
        <w:t>, start</w:t>
      </w:r>
      <w:r>
        <w:rPr>
          <w:rFonts w:asciiTheme="majorHAnsi" w:hAnsiTheme="majorHAnsi" w:cstheme="majorHAnsi"/>
          <w:sz w:val="20"/>
          <w:szCs w:val="20"/>
        </w:rPr>
        <w:t>ing</w:t>
      </w:r>
      <w:r w:rsidR="00E607DA">
        <w:rPr>
          <w:rFonts w:asciiTheme="majorHAnsi" w:hAnsiTheme="majorHAnsi" w:cstheme="majorHAnsi"/>
          <w:sz w:val="20"/>
          <w:szCs w:val="20"/>
        </w:rPr>
        <w:t xml:space="preserve"> effectiveness and safety studies in MEMORY, including a driving safety study and opioid study, continu</w:t>
      </w:r>
      <w:r>
        <w:rPr>
          <w:rFonts w:asciiTheme="majorHAnsi" w:hAnsiTheme="majorHAnsi" w:cstheme="majorHAnsi"/>
          <w:sz w:val="20"/>
          <w:szCs w:val="20"/>
        </w:rPr>
        <w:t>ing</w:t>
      </w:r>
      <w:r w:rsidR="00E607DA">
        <w:rPr>
          <w:rFonts w:asciiTheme="majorHAnsi" w:hAnsiTheme="majorHAnsi" w:cstheme="majorHAnsi"/>
          <w:sz w:val="20"/>
          <w:szCs w:val="20"/>
        </w:rPr>
        <w:t xml:space="preserve"> the development of info sheets, publish</w:t>
      </w:r>
      <w:r>
        <w:rPr>
          <w:rFonts w:asciiTheme="majorHAnsi" w:hAnsiTheme="majorHAnsi" w:cstheme="majorHAnsi"/>
          <w:sz w:val="20"/>
          <w:szCs w:val="20"/>
        </w:rPr>
        <w:t>ing</w:t>
      </w:r>
      <w:r w:rsidR="00E607DA">
        <w:rPr>
          <w:rFonts w:asciiTheme="majorHAnsi" w:hAnsiTheme="majorHAnsi" w:cstheme="majorHAnsi"/>
          <w:sz w:val="20"/>
          <w:szCs w:val="20"/>
        </w:rPr>
        <w:t xml:space="preserve"> the results from the FDA collaboration, and hold</w:t>
      </w:r>
      <w:r>
        <w:rPr>
          <w:rFonts w:asciiTheme="majorHAnsi" w:hAnsiTheme="majorHAnsi" w:cstheme="majorHAnsi"/>
          <w:sz w:val="20"/>
          <w:szCs w:val="20"/>
        </w:rPr>
        <w:t>ing</w:t>
      </w:r>
      <w:r w:rsidR="00E607DA">
        <w:rPr>
          <w:rFonts w:asciiTheme="majorHAnsi" w:hAnsiTheme="majorHAnsi" w:cstheme="majorHAnsi"/>
          <w:sz w:val="20"/>
          <w:szCs w:val="20"/>
        </w:rPr>
        <w:t xml:space="preserve"> the next conference. </w:t>
      </w:r>
      <w:r w:rsidR="00C408A0">
        <w:rPr>
          <w:rFonts w:asciiTheme="majorHAnsi" w:hAnsiTheme="majorHAnsi" w:cstheme="majorHAnsi"/>
          <w:sz w:val="20"/>
          <w:szCs w:val="20"/>
        </w:rPr>
        <w:t xml:space="preserve">Dr. Singla asked if the Consortium charges any fees from researchers to access data, and Dr. Winterstein clarified that there is a $10,000 fee which covers </w:t>
      </w:r>
      <w:r w:rsidR="00CA616A" w:rsidRPr="00CA616A">
        <w:rPr>
          <w:rFonts w:asciiTheme="majorHAnsi" w:hAnsiTheme="majorHAnsi" w:cstheme="majorHAnsi"/>
          <w:sz w:val="20"/>
          <w:szCs w:val="20"/>
        </w:rPr>
        <w:t xml:space="preserve">the </w:t>
      </w:r>
      <w:r w:rsidR="00CA616A">
        <w:rPr>
          <w:rFonts w:asciiTheme="majorHAnsi" w:hAnsiTheme="majorHAnsi" w:cstheme="majorHAnsi"/>
          <w:sz w:val="20"/>
          <w:szCs w:val="20"/>
        </w:rPr>
        <w:t xml:space="preserve">costs of the </w:t>
      </w:r>
      <w:r w:rsidR="00CA616A" w:rsidRPr="00CA616A">
        <w:rPr>
          <w:rFonts w:asciiTheme="majorHAnsi" w:hAnsiTheme="majorHAnsi" w:cstheme="majorHAnsi"/>
          <w:sz w:val="20"/>
          <w:szCs w:val="20"/>
        </w:rPr>
        <w:t>FISMA-certified computing environment, in which MEMORY is contained, and the Consortium does not make a profit.</w:t>
      </w:r>
      <w:r w:rsidR="00C408A0">
        <w:rPr>
          <w:rFonts w:asciiTheme="majorHAnsi" w:hAnsiTheme="majorHAnsi" w:cstheme="majorHAnsi"/>
          <w:sz w:val="20"/>
          <w:szCs w:val="20"/>
        </w:rPr>
        <w:t xml:space="preserve"> If there is more interest in accessing the data from other universities, the cost could possibly go down.</w:t>
      </w:r>
    </w:p>
    <w:p w14:paraId="5A4C9890" w14:textId="46AA673B" w:rsidR="00E607DA" w:rsidRDefault="00E607DA" w:rsidP="007F755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Dr. Winterstein extended a heartfelt thank you and farewell to board chair Dr. William Anderson and vice chair Dr. Martha Rosenthal </w:t>
      </w:r>
      <w:r w:rsidR="0088237A">
        <w:rPr>
          <w:rFonts w:asciiTheme="majorHAnsi" w:hAnsiTheme="majorHAnsi" w:cstheme="majorHAnsi"/>
          <w:sz w:val="20"/>
          <w:szCs w:val="20"/>
        </w:rPr>
        <w:t xml:space="preserve">who </w:t>
      </w:r>
      <w:r w:rsidR="00FE487F">
        <w:rPr>
          <w:rFonts w:asciiTheme="majorHAnsi" w:hAnsiTheme="majorHAnsi" w:cstheme="majorHAnsi"/>
          <w:sz w:val="20"/>
          <w:szCs w:val="20"/>
        </w:rPr>
        <w:t xml:space="preserve">will leave their </w:t>
      </w:r>
      <w:r>
        <w:rPr>
          <w:rFonts w:asciiTheme="majorHAnsi" w:hAnsiTheme="majorHAnsi" w:cstheme="majorHAnsi"/>
          <w:sz w:val="20"/>
          <w:szCs w:val="20"/>
        </w:rPr>
        <w:t>leadership positions</w:t>
      </w:r>
      <w:r w:rsidR="00FE487F">
        <w:rPr>
          <w:rFonts w:asciiTheme="majorHAnsi" w:hAnsiTheme="majorHAnsi" w:cstheme="majorHAnsi"/>
          <w:sz w:val="20"/>
          <w:szCs w:val="20"/>
        </w:rPr>
        <w:t xml:space="preserve"> in June</w:t>
      </w:r>
      <w:r>
        <w:rPr>
          <w:rFonts w:asciiTheme="majorHAnsi" w:hAnsiTheme="majorHAnsi" w:cstheme="majorHAnsi"/>
          <w:sz w:val="20"/>
          <w:szCs w:val="20"/>
        </w:rPr>
        <w:t xml:space="preserve">. Dr. Anderson was presented an award and certificate for his service as chair of the board. </w:t>
      </w:r>
    </w:p>
    <w:p w14:paraId="5CF18082" w14:textId="47BE3C56" w:rsidR="004717D1" w:rsidRDefault="004C0AE5" w:rsidP="00C408A0">
      <w:pPr>
        <w:rPr>
          <w:rFonts w:asciiTheme="majorHAnsi" w:hAnsiTheme="majorHAnsi" w:cstheme="majorHAnsi"/>
          <w:sz w:val="20"/>
          <w:szCs w:val="20"/>
        </w:rPr>
      </w:pPr>
      <w:r w:rsidRPr="004C0AE5">
        <w:rPr>
          <w:rFonts w:asciiTheme="majorHAnsi" w:hAnsiTheme="majorHAnsi" w:cstheme="majorHAnsi"/>
          <w:sz w:val="20"/>
          <w:szCs w:val="20"/>
        </w:rPr>
        <w:t xml:space="preserve">Dr. Singla enquired about requesting the state for increasing funding. Dr. Winterstein explained that the funding increase would have to written into statute and could not be a standalone action but could be done in conjunction with another change in the state </w:t>
      </w:r>
      <w:r w:rsidR="007127DC">
        <w:rPr>
          <w:rFonts w:asciiTheme="majorHAnsi" w:hAnsiTheme="majorHAnsi" w:cstheme="majorHAnsi"/>
          <w:sz w:val="20"/>
          <w:szCs w:val="20"/>
        </w:rPr>
        <w:t>MMJ</w:t>
      </w:r>
      <w:r w:rsidRPr="004C0AE5">
        <w:rPr>
          <w:rFonts w:asciiTheme="majorHAnsi" w:hAnsiTheme="majorHAnsi" w:cstheme="majorHAnsi"/>
          <w:sz w:val="20"/>
          <w:szCs w:val="20"/>
        </w:rPr>
        <w:t xml:space="preserve"> program. There was a request from the Consortium for a non-recurring one-time funding increase of half a million dollars but so far there has been no </w:t>
      </w:r>
      <w:r>
        <w:rPr>
          <w:rFonts w:asciiTheme="majorHAnsi" w:hAnsiTheme="majorHAnsi" w:cstheme="majorHAnsi"/>
          <w:sz w:val="20"/>
          <w:szCs w:val="20"/>
        </w:rPr>
        <w:t>response.</w:t>
      </w:r>
      <w:r w:rsidRPr="004C0AE5">
        <w:rPr>
          <w:rFonts w:asciiTheme="majorHAnsi" w:hAnsiTheme="majorHAnsi" w:cstheme="majorHAnsi"/>
          <w:sz w:val="20"/>
          <w:szCs w:val="20"/>
        </w:rPr>
        <w:t xml:space="preserve"> </w:t>
      </w:r>
      <w:r w:rsidR="004717D1">
        <w:rPr>
          <w:rFonts w:asciiTheme="majorHAnsi" w:hAnsiTheme="majorHAnsi" w:cstheme="majorHAnsi"/>
          <w:sz w:val="20"/>
          <w:szCs w:val="20"/>
        </w:rPr>
        <w:t xml:space="preserve">Dr. Anderson </w:t>
      </w:r>
      <w:r>
        <w:rPr>
          <w:rFonts w:asciiTheme="majorHAnsi" w:hAnsiTheme="majorHAnsi" w:cstheme="majorHAnsi"/>
          <w:sz w:val="20"/>
          <w:szCs w:val="20"/>
        </w:rPr>
        <w:t xml:space="preserve">commented </w:t>
      </w:r>
      <w:r w:rsidR="004717D1">
        <w:rPr>
          <w:rFonts w:asciiTheme="majorHAnsi" w:hAnsiTheme="majorHAnsi" w:cstheme="majorHAnsi"/>
          <w:sz w:val="20"/>
          <w:szCs w:val="20"/>
        </w:rPr>
        <w:t xml:space="preserve">that if reactional marijuana is passed in November, there may be a greater urgency for marijuana research. </w:t>
      </w:r>
    </w:p>
    <w:p w14:paraId="298FC729" w14:textId="368ACD7D" w:rsidR="00343378" w:rsidRDefault="00D53488" w:rsidP="004717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C0AE5">
        <w:rPr>
          <w:rFonts w:asciiTheme="majorHAnsi" w:hAnsiTheme="majorHAnsi" w:cstheme="majorHAnsi"/>
          <w:sz w:val="20"/>
          <w:szCs w:val="20"/>
        </w:rPr>
        <w:t xml:space="preserve">Dr. Anderson and Dr. Orezzoli encouraged the Consortium to support and promote start-ups using the </w:t>
      </w:r>
      <w:r>
        <w:rPr>
          <w:rFonts w:asciiTheme="majorHAnsi" w:hAnsiTheme="majorHAnsi" w:cstheme="majorHAnsi"/>
          <w:sz w:val="20"/>
          <w:szCs w:val="20"/>
        </w:rPr>
        <w:t>Investigational New Drug (</w:t>
      </w:r>
      <w:r w:rsidRPr="004C0AE5">
        <w:rPr>
          <w:rFonts w:asciiTheme="majorHAnsi" w:hAnsiTheme="majorHAnsi" w:cstheme="majorHAnsi"/>
          <w:sz w:val="20"/>
          <w:szCs w:val="20"/>
        </w:rPr>
        <w:t>IND</w:t>
      </w:r>
      <w:r>
        <w:rPr>
          <w:rFonts w:asciiTheme="majorHAnsi" w:hAnsiTheme="majorHAnsi" w:cstheme="majorHAnsi"/>
          <w:sz w:val="20"/>
          <w:szCs w:val="20"/>
        </w:rPr>
        <w:t>)</w:t>
      </w:r>
      <w:r w:rsidRPr="004C0AE5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licenses </w:t>
      </w:r>
      <w:r w:rsidRPr="004C0AE5">
        <w:rPr>
          <w:rFonts w:asciiTheme="majorHAnsi" w:hAnsiTheme="majorHAnsi" w:cstheme="majorHAnsi"/>
          <w:sz w:val="20"/>
          <w:szCs w:val="20"/>
        </w:rPr>
        <w:t xml:space="preserve">obtained by researchers funded by the </w:t>
      </w:r>
      <w:r>
        <w:rPr>
          <w:rFonts w:asciiTheme="majorHAnsi" w:hAnsiTheme="majorHAnsi" w:cstheme="majorHAnsi"/>
          <w:sz w:val="20"/>
          <w:szCs w:val="20"/>
        </w:rPr>
        <w:t xml:space="preserve">Consortium </w:t>
      </w:r>
      <w:r w:rsidRPr="004C0AE5">
        <w:rPr>
          <w:rFonts w:asciiTheme="majorHAnsi" w:hAnsiTheme="majorHAnsi" w:cstheme="majorHAnsi"/>
          <w:sz w:val="20"/>
          <w:szCs w:val="20"/>
        </w:rPr>
        <w:t xml:space="preserve">research grant program. </w:t>
      </w:r>
      <w:r w:rsidR="00364404">
        <w:rPr>
          <w:rFonts w:asciiTheme="majorHAnsi" w:hAnsiTheme="majorHAnsi" w:cstheme="majorHAnsi"/>
          <w:sz w:val="20"/>
          <w:szCs w:val="20"/>
        </w:rPr>
        <w:t xml:space="preserve">Dr. Orezzoli </w:t>
      </w:r>
      <w:r w:rsidR="0056025A">
        <w:rPr>
          <w:rFonts w:asciiTheme="majorHAnsi" w:hAnsiTheme="majorHAnsi" w:cstheme="majorHAnsi"/>
          <w:sz w:val="20"/>
          <w:szCs w:val="20"/>
        </w:rPr>
        <w:t>reiterated the need for</w:t>
      </w:r>
      <w:r w:rsidR="00FB17ED">
        <w:rPr>
          <w:rFonts w:asciiTheme="majorHAnsi" w:hAnsiTheme="majorHAnsi" w:cstheme="majorHAnsi"/>
          <w:sz w:val="20"/>
          <w:szCs w:val="20"/>
        </w:rPr>
        <w:t xml:space="preserve"> a conversation about </w:t>
      </w:r>
      <w:r w:rsidR="00364404">
        <w:rPr>
          <w:rFonts w:asciiTheme="majorHAnsi" w:hAnsiTheme="majorHAnsi" w:cstheme="majorHAnsi"/>
          <w:sz w:val="20"/>
          <w:szCs w:val="20"/>
        </w:rPr>
        <w:t>support</w:t>
      </w:r>
      <w:r w:rsidR="0056025A">
        <w:rPr>
          <w:rFonts w:asciiTheme="majorHAnsi" w:hAnsiTheme="majorHAnsi" w:cstheme="majorHAnsi"/>
          <w:sz w:val="20"/>
          <w:szCs w:val="20"/>
        </w:rPr>
        <w:t>ing</w:t>
      </w:r>
      <w:r w:rsidR="00364404">
        <w:rPr>
          <w:rFonts w:asciiTheme="majorHAnsi" w:hAnsiTheme="majorHAnsi" w:cstheme="majorHAnsi"/>
          <w:sz w:val="20"/>
          <w:szCs w:val="20"/>
        </w:rPr>
        <w:t xml:space="preserve"> startups </w:t>
      </w:r>
      <w:r w:rsidR="00FB17ED">
        <w:rPr>
          <w:rFonts w:asciiTheme="majorHAnsi" w:hAnsiTheme="majorHAnsi" w:cstheme="majorHAnsi"/>
          <w:sz w:val="20"/>
          <w:szCs w:val="20"/>
        </w:rPr>
        <w:t>and bring</w:t>
      </w:r>
      <w:r w:rsidR="0056025A">
        <w:rPr>
          <w:rFonts w:asciiTheme="majorHAnsi" w:hAnsiTheme="majorHAnsi" w:cstheme="majorHAnsi"/>
          <w:sz w:val="20"/>
          <w:szCs w:val="20"/>
        </w:rPr>
        <w:t>ing</w:t>
      </w:r>
      <w:r w:rsidR="00FB17ED">
        <w:rPr>
          <w:rFonts w:asciiTheme="majorHAnsi" w:hAnsiTheme="majorHAnsi" w:cstheme="majorHAnsi"/>
          <w:sz w:val="20"/>
          <w:szCs w:val="20"/>
        </w:rPr>
        <w:t xml:space="preserve"> in private industry. Dr. Anderson agree</w:t>
      </w:r>
      <w:r w:rsidR="001A04F1">
        <w:rPr>
          <w:rFonts w:asciiTheme="majorHAnsi" w:hAnsiTheme="majorHAnsi" w:cstheme="majorHAnsi"/>
          <w:sz w:val="20"/>
          <w:szCs w:val="20"/>
        </w:rPr>
        <w:t>d</w:t>
      </w:r>
      <w:r w:rsidR="0056025A">
        <w:rPr>
          <w:rFonts w:asciiTheme="majorHAnsi" w:hAnsiTheme="majorHAnsi" w:cstheme="majorHAnsi"/>
          <w:sz w:val="20"/>
          <w:szCs w:val="20"/>
        </w:rPr>
        <w:t xml:space="preserve"> that</w:t>
      </w:r>
      <w:r w:rsidR="00FB17ED">
        <w:rPr>
          <w:rFonts w:asciiTheme="majorHAnsi" w:hAnsiTheme="majorHAnsi" w:cstheme="majorHAnsi"/>
          <w:sz w:val="20"/>
          <w:szCs w:val="20"/>
        </w:rPr>
        <w:t xml:space="preserve"> this would be important to show how universities can help commercialization</w:t>
      </w:r>
      <w:r w:rsidR="0056025A">
        <w:rPr>
          <w:rFonts w:asciiTheme="majorHAnsi" w:hAnsiTheme="majorHAnsi" w:cstheme="majorHAnsi"/>
          <w:sz w:val="20"/>
          <w:szCs w:val="20"/>
        </w:rPr>
        <w:t xml:space="preserve"> in the state</w:t>
      </w:r>
      <w:r w:rsidR="00FB17ED">
        <w:rPr>
          <w:rFonts w:asciiTheme="majorHAnsi" w:hAnsiTheme="majorHAnsi" w:cstheme="majorHAnsi"/>
          <w:sz w:val="20"/>
          <w:szCs w:val="20"/>
        </w:rPr>
        <w:t xml:space="preserve">. </w:t>
      </w:r>
      <w:r w:rsidR="001A04F1">
        <w:rPr>
          <w:rFonts w:asciiTheme="majorHAnsi" w:hAnsiTheme="majorHAnsi" w:cstheme="majorHAnsi"/>
          <w:sz w:val="20"/>
          <w:szCs w:val="20"/>
        </w:rPr>
        <w:t xml:space="preserve">Dr. Sagen suggested </w:t>
      </w:r>
      <w:r w:rsidR="0056025A">
        <w:rPr>
          <w:rFonts w:asciiTheme="majorHAnsi" w:hAnsiTheme="majorHAnsi" w:cstheme="majorHAnsi"/>
          <w:sz w:val="20"/>
          <w:szCs w:val="20"/>
        </w:rPr>
        <w:t xml:space="preserve">adding </w:t>
      </w:r>
      <w:r w:rsidR="001A04F1">
        <w:rPr>
          <w:rFonts w:asciiTheme="majorHAnsi" w:hAnsiTheme="majorHAnsi" w:cstheme="majorHAnsi"/>
          <w:sz w:val="20"/>
          <w:szCs w:val="20"/>
        </w:rPr>
        <w:t xml:space="preserve">some sort of funding which could serve as a road to commercialization. </w:t>
      </w:r>
      <w:r w:rsidR="00E377BF">
        <w:rPr>
          <w:rFonts w:asciiTheme="majorHAnsi" w:hAnsiTheme="majorHAnsi" w:cstheme="majorHAnsi"/>
          <w:sz w:val="20"/>
          <w:szCs w:val="20"/>
        </w:rPr>
        <w:t xml:space="preserve">Dr. Winterstein agreed with the importance of emphasizing the impact of the Consortium to the state. </w:t>
      </w:r>
    </w:p>
    <w:p w14:paraId="1014A3F7" w14:textId="77777777" w:rsidR="00E96BD6" w:rsidRDefault="00E96BD6" w:rsidP="00343378">
      <w:pPr>
        <w:pStyle w:val="Heading2"/>
        <w:spacing w:before="0"/>
        <w:rPr>
          <w:rFonts w:cstheme="majorHAnsi"/>
          <w:b/>
          <w:sz w:val="20"/>
          <w:szCs w:val="20"/>
        </w:rPr>
      </w:pPr>
    </w:p>
    <w:p w14:paraId="4C09819F" w14:textId="5B47A762" w:rsidR="00543B21" w:rsidRPr="00767145" w:rsidRDefault="00543B21" w:rsidP="00543B21">
      <w:pPr>
        <w:pStyle w:val="Heading2"/>
        <w:spacing w:before="0"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 xml:space="preserve">Public Comments </w:t>
      </w:r>
    </w:p>
    <w:p w14:paraId="1D547497" w14:textId="5D828413" w:rsidR="00543B21" w:rsidRPr="00543B21" w:rsidRDefault="00543B21" w:rsidP="00543B21">
      <w:pPr>
        <w:spacing w:after="0"/>
        <w:rPr>
          <w:rFonts w:asciiTheme="majorHAnsi" w:hAnsiTheme="majorHAnsi" w:cstheme="majorHAnsi"/>
        </w:rPr>
      </w:pPr>
      <w:r w:rsidRPr="00543B21">
        <w:rPr>
          <w:rFonts w:asciiTheme="majorHAnsi" w:hAnsiTheme="majorHAnsi" w:cstheme="majorHAnsi"/>
          <w:sz w:val="20"/>
          <w:szCs w:val="20"/>
        </w:rPr>
        <w:t xml:space="preserve">There were no public comments. </w:t>
      </w:r>
    </w:p>
    <w:p w14:paraId="1BFB411C" w14:textId="77777777" w:rsidR="00543B21" w:rsidRDefault="00543B21" w:rsidP="00343378">
      <w:pPr>
        <w:pStyle w:val="Heading2"/>
        <w:spacing w:before="0"/>
        <w:rPr>
          <w:rFonts w:cstheme="majorHAnsi"/>
          <w:b/>
          <w:sz w:val="20"/>
          <w:szCs w:val="20"/>
        </w:rPr>
      </w:pPr>
    </w:p>
    <w:p w14:paraId="3A202256" w14:textId="0E8B95B7" w:rsidR="00343378" w:rsidRPr="00767145" w:rsidRDefault="00343378" w:rsidP="00343378">
      <w:pPr>
        <w:pStyle w:val="Heading2"/>
        <w:spacing w:before="0"/>
        <w:rPr>
          <w:rFonts w:cstheme="majorHAnsi"/>
          <w:b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Closing Remarks</w:t>
      </w:r>
    </w:p>
    <w:p w14:paraId="038BCA3B" w14:textId="4E67CB6D" w:rsidR="00543B21" w:rsidRPr="00543B21" w:rsidRDefault="00343378" w:rsidP="00543B21">
      <w:pPr>
        <w:pStyle w:val="Heading2"/>
        <w:rPr>
          <w:rFonts w:cstheme="majorHAnsi"/>
          <w:color w:val="auto"/>
          <w:sz w:val="20"/>
          <w:szCs w:val="20"/>
        </w:rPr>
      </w:pPr>
      <w:r w:rsidRPr="00361D7A">
        <w:rPr>
          <w:rFonts w:cstheme="majorHAnsi"/>
          <w:color w:val="auto"/>
          <w:sz w:val="20"/>
          <w:szCs w:val="20"/>
        </w:rPr>
        <w:t xml:space="preserve">Dr. Anderson thanked </w:t>
      </w:r>
      <w:r>
        <w:rPr>
          <w:rFonts w:cstheme="majorHAnsi"/>
          <w:color w:val="auto"/>
          <w:sz w:val="20"/>
          <w:szCs w:val="20"/>
        </w:rPr>
        <w:t>everyone for being</w:t>
      </w:r>
      <w:r w:rsidRPr="00361D7A">
        <w:rPr>
          <w:rFonts w:cstheme="majorHAnsi"/>
          <w:color w:val="auto"/>
          <w:sz w:val="20"/>
          <w:szCs w:val="20"/>
        </w:rPr>
        <w:t xml:space="preserve"> in attendance</w:t>
      </w:r>
      <w:r>
        <w:rPr>
          <w:rFonts w:cstheme="majorHAnsi"/>
          <w:color w:val="auto"/>
          <w:sz w:val="20"/>
          <w:szCs w:val="20"/>
        </w:rPr>
        <w:t xml:space="preserve"> and thanked everyone for their work. </w:t>
      </w:r>
      <w:r w:rsidR="003633DF">
        <w:rPr>
          <w:rFonts w:cstheme="majorHAnsi"/>
          <w:color w:val="auto"/>
          <w:sz w:val="20"/>
          <w:szCs w:val="20"/>
        </w:rPr>
        <w:t>A special recognition was given to Dr. Goodin and the 125 graduate students who assisted in the collaboration with the FDA.</w:t>
      </w:r>
    </w:p>
    <w:p w14:paraId="2FF1CDC7" w14:textId="77777777" w:rsidR="00543B21" w:rsidRDefault="00543B21" w:rsidP="00543B21">
      <w:pPr>
        <w:pStyle w:val="Heading2"/>
        <w:spacing w:before="0"/>
        <w:rPr>
          <w:rFonts w:cstheme="majorHAnsi"/>
          <w:b/>
          <w:sz w:val="20"/>
          <w:szCs w:val="20"/>
        </w:rPr>
      </w:pPr>
    </w:p>
    <w:p w14:paraId="72EA9D2E" w14:textId="5D5C107F" w:rsidR="00543B21" w:rsidRDefault="00343378" w:rsidP="00543B21">
      <w:pPr>
        <w:pStyle w:val="Heading2"/>
        <w:spacing w:before="0"/>
        <w:rPr>
          <w:rFonts w:cstheme="majorHAnsi"/>
          <w:color w:val="auto"/>
          <w:sz w:val="20"/>
          <w:szCs w:val="20"/>
        </w:rPr>
      </w:pPr>
      <w:r w:rsidRPr="00767145">
        <w:rPr>
          <w:rFonts w:cstheme="majorHAnsi"/>
          <w:b/>
          <w:sz w:val="20"/>
          <w:szCs w:val="20"/>
        </w:rPr>
        <w:t>Adjournment</w:t>
      </w:r>
    </w:p>
    <w:p w14:paraId="629030F3" w14:textId="4818406E" w:rsidR="00343378" w:rsidRPr="00543B21" w:rsidRDefault="00343378" w:rsidP="00543B21">
      <w:pPr>
        <w:pStyle w:val="Heading2"/>
        <w:spacing w:before="0"/>
        <w:rPr>
          <w:rFonts w:cstheme="majorHAnsi"/>
          <w:color w:val="auto"/>
          <w:sz w:val="20"/>
          <w:szCs w:val="20"/>
        </w:rPr>
      </w:pPr>
      <w:r w:rsidRPr="00361D7A">
        <w:rPr>
          <w:rFonts w:cstheme="majorHAnsi"/>
          <w:color w:val="auto"/>
          <w:sz w:val="20"/>
          <w:szCs w:val="20"/>
        </w:rPr>
        <w:t>Dr. Anderson adjourned the meeting</w:t>
      </w:r>
      <w:r w:rsidR="00543B21">
        <w:rPr>
          <w:rFonts w:cstheme="majorHAnsi"/>
          <w:color w:val="auto"/>
          <w:sz w:val="20"/>
          <w:szCs w:val="20"/>
        </w:rPr>
        <w:t xml:space="preserve"> at 1:09 p.m. </w:t>
      </w:r>
    </w:p>
    <w:p w14:paraId="000000BD" w14:textId="0E224167" w:rsidR="00C25815" w:rsidRPr="00361D7A" w:rsidRDefault="00C25815">
      <w:pPr>
        <w:rPr>
          <w:rFonts w:asciiTheme="majorHAnsi" w:hAnsiTheme="majorHAnsi" w:cstheme="majorHAnsi"/>
          <w:sz w:val="20"/>
          <w:szCs w:val="20"/>
        </w:rPr>
      </w:pPr>
    </w:p>
    <w:sectPr w:rsidR="00C25815" w:rsidRPr="00361D7A" w:rsidSect="000E45DB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4970" w14:textId="77777777" w:rsidR="00ED4B09" w:rsidRDefault="00ED4B09">
      <w:pPr>
        <w:spacing w:after="0" w:line="240" w:lineRule="auto"/>
      </w:pPr>
      <w:r>
        <w:separator/>
      </w:r>
    </w:p>
  </w:endnote>
  <w:endnote w:type="continuationSeparator" w:id="0">
    <w:p w14:paraId="60FA5B0F" w14:textId="77777777" w:rsidR="00ED4B09" w:rsidRDefault="00ED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D07D" w14:textId="77777777" w:rsidR="006C15D8" w:rsidRDefault="006C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192" w14:textId="77777777" w:rsidR="006C15D8" w:rsidRDefault="006C1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65F5" w14:textId="77777777" w:rsidR="006C15D8" w:rsidRDefault="006C1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07E2" w14:textId="77777777" w:rsidR="00ED4B09" w:rsidRDefault="00ED4B09">
      <w:pPr>
        <w:spacing w:after="0" w:line="240" w:lineRule="auto"/>
      </w:pPr>
      <w:r>
        <w:separator/>
      </w:r>
    </w:p>
  </w:footnote>
  <w:footnote w:type="continuationSeparator" w:id="0">
    <w:p w14:paraId="23C0B044" w14:textId="77777777" w:rsidR="00ED4B09" w:rsidRDefault="00ED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BFE6" w14:textId="77777777" w:rsidR="006C15D8" w:rsidRDefault="006C1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E" w14:textId="5AEC5845" w:rsidR="00C25815" w:rsidRDefault="00B330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D0847F2" wp14:editId="3BD37626">
          <wp:extent cx="2166649" cy="602328"/>
          <wp:effectExtent l="0" t="0" r="0" b="0"/>
          <wp:docPr id="6" name="image1.png" descr="Cannabis Clinical Outcomes Research Conferen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annabis Clinical Outcomes Research Conferen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6649" cy="602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B530" w14:textId="77777777" w:rsidR="006C15D8" w:rsidRDefault="006C1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2426"/>
    <w:multiLevelType w:val="hybridMultilevel"/>
    <w:tmpl w:val="84182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2450"/>
    <w:multiLevelType w:val="multilevel"/>
    <w:tmpl w:val="ABF2F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666236">
    <w:abstractNumId w:val="1"/>
  </w:num>
  <w:num w:numId="2" w16cid:durableId="189080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15"/>
    <w:rsid w:val="0000069F"/>
    <w:rsid w:val="000035F7"/>
    <w:rsid w:val="000100D2"/>
    <w:rsid w:val="00011650"/>
    <w:rsid w:val="00035CC7"/>
    <w:rsid w:val="000455B9"/>
    <w:rsid w:val="00056AA1"/>
    <w:rsid w:val="00067F91"/>
    <w:rsid w:val="000859EE"/>
    <w:rsid w:val="00086A56"/>
    <w:rsid w:val="00092C85"/>
    <w:rsid w:val="0009497E"/>
    <w:rsid w:val="00095E40"/>
    <w:rsid w:val="000A2075"/>
    <w:rsid w:val="000A64EC"/>
    <w:rsid w:val="000C3D20"/>
    <w:rsid w:val="000E45DB"/>
    <w:rsid w:val="00107A22"/>
    <w:rsid w:val="0011780B"/>
    <w:rsid w:val="00133ACB"/>
    <w:rsid w:val="00141E53"/>
    <w:rsid w:val="0014376C"/>
    <w:rsid w:val="00152D1A"/>
    <w:rsid w:val="00163C25"/>
    <w:rsid w:val="00172CFC"/>
    <w:rsid w:val="001803DA"/>
    <w:rsid w:val="001A04F1"/>
    <w:rsid w:val="001B04C6"/>
    <w:rsid w:val="00210CD3"/>
    <w:rsid w:val="00271068"/>
    <w:rsid w:val="00295C4B"/>
    <w:rsid w:val="002B0612"/>
    <w:rsid w:val="002B1F27"/>
    <w:rsid w:val="002C1C91"/>
    <w:rsid w:val="002C6050"/>
    <w:rsid w:val="002E3429"/>
    <w:rsid w:val="00315A3A"/>
    <w:rsid w:val="00343378"/>
    <w:rsid w:val="003538C4"/>
    <w:rsid w:val="00360351"/>
    <w:rsid w:val="00361D7A"/>
    <w:rsid w:val="003633DF"/>
    <w:rsid w:val="00364404"/>
    <w:rsid w:val="003948D5"/>
    <w:rsid w:val="00396B0D"/>
    <w:rsid w:val="003A1A1F"/>
    <w:rsid w:val="003B2816"/>
    <w:rsid w:val="003C0602"/>
    <w:rsid w:val="003C173A"/>
    <w:rsid w:val="003C4615"/>
    <w:rsid w:val="003D1EDB"/>
    <w:rsid w:val="003D26A4"/>
    <w:rsid w:val="003D35AD"/>
    <w:rsid w:val="003D52CB"/>
    <w:rsid w:val="00400D98"/>
    <w:rsid w:val="00403C87"/>
    <w:rsid w:val="004043B6"/>
    <w:rsid w:val="004078E5"/>
    <w:rsid w:val="00417EC6"/>
    <w:rsid w:val="0042036A"/>
    <w:rsid w:val="00424431"/>
    <w:rsid w:val="0042780E"/>
    <w:rsid w:val="004308D8"/>
    <w:rsid w:val="00453585"/>
    <w:rsid w:val="00453F7D"/>
    <w:rsid w:val="00464667"/>
    <w:rsid w:val="004717D1"/>
    <w:rsid w:val="00481411"/>
    <w:rsid w:val="0048194A"/>
    <w:rsid w:val="00483E31"/>
    <w:rsid w:val="00492978"/>
    <w:rsid w:val="0049506B"/>
    <w:rsid w:val="004A697D"/>
    <w:rsid w:val="004B6381"/>
    <w:rsid w:val="004C0AE5"/>
    <w:rsid w:val="004D3C9D"/>
    <w:rsid w:val="004D6E13"/>
    <w:rsid w:val="004E2DD1"/>
    <w:rsid w:val="004E6B5C"/>
    <w:rsid w:val="004F15C4"/>
    <w:rsid w:val="00500335"/>
    <w:rsid w:val="0050695C"/>
    <w:rsid w:val="00514152"/>
    <w:rsid w:val="00515897"/>
    <w:rsid w:val="00515A14"/>
    <w:rsid w:val="005170E3"/>
    <w:rsid w:val="00523120"/>
    <w:rsid w:val="005424D3"/>
    <w:rsid w:val="00543B21"/>
    <w:rsid w:val="00553648"/>
    <w:rsid w:val="0056025A"/>
    <w:rsid w:val="005666CA"/>
    <w:rsid w:val="00592E82"/>
    <w:rsid w:val="005B37ED"/>
    <w:rsid w:val="005C7AFB"/>
    <w:rsid w:val="005D7D12"/>
    <w:rsid w:val="005E3A6A"/>
    <w:rsid w:val="005E60D9"/>
    <w:rsid w:val="005E7F7B"/>
    <w:rsid w:val="005F00F0"/>
    <w:rsid w:val="0060128B"/>
    <w:rsid w:val="00605AFD"/>
    <w:rsid w:val="00621FB0"/>
    <w:rsid w:val="006553C7"/>
    <w:rsid w:val="00661600"/>
    <w:rsid w:val="0066289F"/>
    <w:rsid w:val="00676655"/>
    <w:rsid w:val="006809A8"/>
    <w:rsid w:val="006900A8"/>
    <w:rsid w:val="0069222D"/>
    <w:rsid w:val="006A0408"/>
    <w:rsid w:val="006A077D"/>
    <w:rsid w:val="006C15D8"/>
    <w:rsid w:val="006C55F6"/>
    <w:rsid w:val="006D3427"/>
    <w:rsid w:val="006E302A"/>
    <w:rsid w:val="006E30D5"/>
    <w:rsid w:val="006F0BCF"/>
    <w:rsid w:val="00702079"/>
    <w:rsid w:val="00705927"/>
    <w:rsid w:val="0071098A"/>
    <w:rsid w:val="007127DC"/>
    <w:rsid w:val="00712C77"/>
    <w:rsid w:val="007316FD"/>
    <w:rsid w:val="00735336"/>
    <w:rsid w:val="007476FB"/>
    <w:rsid w:val="0074799B"/>
    <w:rsid w:val="00767145"/>
    <w:rsid w:val="007937A0"/>
    <w:rsid w:val="007A5115"/>
    <w:rsid w:val="007B3DFF"/>
    <w:rsid w:val="007D2BAA"/>
    <w:rsid w:val="007D58A2"/>
    <w:rsid w:val="007F2EC8"/>
    <w:rsid w:val="007F555C"/>
    <w:rsid w:val="007F6D24"/>
    <w:rsid w:val="007F7552"/>
    <w:rsid w:val="008056A5"/>
    <w:rsid w:val="008330A3"/>
    <w:rsid w:val="0084184D"/>
    <w:rsid w:val="0084208E"/>
    <w:rsid w:val="008445F7"/>
    <w:rsid w:val="008522B7"/>
    <w:rsid w:val="00876CFD"/>
    <w:rsid w:val="00877084"/>
    <w:rsid w:val="0088237A"/>
    <w:rsid w:val="0089113D"/>
    <w:rsid w:val="00897CCE"/>
    <w:rsid w:val="008A202F"/>
    <w:rsid w:val="008A2285"/>
    <w:rsid w:val="008A4471"/>
    <w:rsid w:val="008E6CAB"/>
    <w:rsid w:val="00910782"/>
    <w:rsid w:val="00913135"/>
    <w:rsid w:val="0095080F"/>
    <w:rsid w:val="00971780"/>
    <w:rsid w:val="009869F6"/>
    <w:rsid w:val="009D2DA1"/>
    <w:rsid w:val="009E316C"/>
    <w:rsid w:val="009F10A8"/>
    <w:rsid w:val="00A02521"/>
    <w:rsid w:val="00A2134C"/>
    <w:rsid w:val="00A234F2"/>
    <w:rsid w:val="00A326D2"/>
    <w:rsid w:val="00A32BDA"/>
    <w:rsid w:val="00A51957"/>
    <w:rsid w:val="00A543B1"/>
    <w:rsid w:val="00A60668"/>
    <w:rsid w:val="00A66A3B"/>
    <w:rsid w:val="00A7242F"/>
    <w:rsid w:val="00A725A8"/>
    <w:rsid w:val="00A76286"/>
    <w:rsid w:val="00A82B78"/>
    <w:rsid w:val="00A9112D"/>
    <w:rsid w:val="00AA2893"/>
    <w:rsid w:val="00AA307E"/>
    <w:rsid w:val="00AD3651"/>
    <w:rsid w:val="00AD6A1A"/>
    <w:rsid w:val="00AD79D3"/>
    <w:rsid w:val="00AE1A55"/>
    <w:rsid w:val="00AF24EE"/>
    <w:rsid w:val="00B30E3A"/>
    <w:rsid w:val="00B330F0"/>
    <w:rsid w:val="00B40793"/>
    <w:rsid w:val="00B448D8"/>
    <w:rsid w:val="00B47E03"/>
    <w:rsid w:val="00B54B1A"/>
    <w:rsid w:val="00B55611"/>
    <w:rsid w:val="00B604A0"/>
    <w:rsid w:val="00B60550"/>
    <w:rsid w:val="00B67D7A"/>
    <w:rsid w:val="00B7651D"/>
    <w:rsid w:val="00B919A7"/>
    <w:rsid w:val="00B9545D"/>
    <w:rsid w:val="00BC1354"/>
    <w:rsid w:val="00BC6DB2"/>
    <w:rsid w:val="00BD7A6A"/>
    <w:rsid w:val="00BE5188"/>
    <w:rsid w:val="00C0004C"/>
    <w:rsid w:val="00C16936"/>
    <w:rsid w:val="00C25815"/>
    <w:rsid w:val="00C408A0"/>
    <w:rsid w:val="00C50FF8"/>
    <w:rsid w:val="00C679A4"/>
    <w:rsid w:val="00C803FB"/>
    <w:rsid w:val="00C8657F"/>
    <w:rsid w:val="00CA616A"/>
    <w:rsid w:val="00CA6EB5"/>
    <w:rsid w:val="00CB450B"/>
    <w:rsid w:val="00CC4DD5"/>
    <w:rsid w:val="00CC58BD"/>
    <w:rsid w:val="00CE7E1C"/>
    <w:rsid w:val="00D07C48"/>
    <w:rsid w:val="00D333E9"/>
    <w:rsid w:val="00D33F2E"/>
    <w:rsid w:val="00D53488"/>
    <w:rsid w:val="00D556AE"/>
    <w:rsid w:val="00D80F27"/>
    <w:rsid w:val="00D815E2"/>
    <w:rsid w:val="00D82AE0"/>
    <w:rsid w:val="00DA3D25"/>
    <w:rsid w:val="00DA56F6"/>
    <w:rsid w:val="00DB292B"/>
    <w:rsid w:val="00DD1931"/>
    <w:rsid w:val="00DF1A69"/>
    <w:rsid w:val="00DF2443"/>
    <w:rsid w:val="00DF372B"/>
    <w:rsid w:val="00E13B75"/>
    <w:rsid w:val="00E20D92"/>
    <w:rsid w:val="00E23DAF"/>
    <w:rsid w:val="00E25018"/>
    <w:rsid w:val="00E26BBF"/>
    <w:rsid w:val="00E30EC8"/>
    <w:rsid w:val="00E377BF"/>
    <w:rsid w:val="00E50E67"/>
    <w:rsid w:val="00E607DA"/>
    <w:rsid w:val="00E666C7"/>
    <w:rsid w:val="00E72F98"/>
    <w:rsid w:val="00E90C98"/>
    <w:rsid w:val="00E96BD6"/>
    <w:rsid w:val="00EC746A"/>
    <w:rsid w:val="00EC7C5F"/>
    <w:rsid w:val="00ED19A3"/>
    <w:rsid w:val="00ED4B09"/>
    <w:rsid w:val="00EE4A49"/>
    <w:rsid w:val="00EE6063"/>
    <w:rsid w:val="00F036D8"/>
    <w:rsid w:val="00F1326A"/>
    <w:rsid w:val="00F34423"/>
    <w:rsid w:val="00F35356"/>
    <w:rsid w:val="00F37864"/>
    <w:rsid w:val="00F631F2"/>
    <w:rsid w:val="00F72C49"/>
    <w:rsid w:val="00F766FD"/>
    <w:rsid w:val="00F86F9D"/>
    <w:rsid w:val="00F91FAB"/>
    <w:rsid w:val="00FA4385"/>
    <w:rsid w:val="00FB17ED"/>
    <w:rsid w:val="00FC25A8"/>
    <w:rsid w:val="00FC6B82"/>
    <w:rsid w:val="00FE487F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66CC"/>
  <w15:docId w15:val="{C29ECBD4-3E8C-7841-91B3-D22B386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D3"/>
  </w:style>
  <w:style w:type="paragraph" w:styleId="Heading1">
    <w:name w:val="heading 1"/>
    <w:basedOn w:val="Normal"/>
    <w:next w:val="Normal"/>
    <w:link w:val="Heading1Char"/>
    <w:uiPriority w:val="9"/>
    <w:qFormat/>
    <w:rsid w:val="006C4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E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C4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4E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4E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20"/>
  </w:style>
  <w:style w:type="paragraph" w:styleId="Footer">
    <w:name w:val="footer"/>
    <w:basedOn w:val="Normal"/>
    <w:link w:val="FooterChar"/>
    <w:uiPriority w:val="99"/>
    <w:unhideWhenUsed/>
    <w:rsid w:val="007B3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20"/>
  </w:style>
  <w:style w:type="table" w:styleId="GridTable4-Accent6">
    <w:name w:val="Grid Table 4 Accent 6"/>
    <w:basedOn w:val="TableNormal"/>
    <w:uiPriority w:val="49"/>
    <w:rsid w:val="004E21D0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2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1D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1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3B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3B0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Hyperlink">
    <w:name w:val="Hyperlink"/>
    <w:basedOn w:val="DefaultParagraphFont"/>
    <w:uiPriority w:val="99"/>
    <w:unhideWhenUsed/>
    <w:rsid w:val="008A44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4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/gNWPJUprambilpzJZmI/2tCCA==">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1131</Words>
  <Characters>6374</Characters>
  <Application>Microsoft Office Word</Application>
  <DocSecurity>8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Jyot,Jeevan</dc:creator>
  <cp:lastModifiedBy>Veliz,Allison</cp:lastModifiedBy>
  <cp:revision>3</cp:revision>
  <dcterms:created xsi:type="dcterms:W3CDTF">2026-04-17T13:58:00Z</dcterms:created>
  <dcterms:modified xsi:type="dcterms:W3CDTF">2026-04-17T13:59:00Z</dcterms:modified>
</cp:coreProperties>
</file>